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33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31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APROVA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rPr>
          <w:rFonts w:hint="default" w:ascii="Calibri" w:hAnsi="Calibri" w:eastAsia="Segoe UI" w:cs="Calibri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auto"/>
        </w:rPr>
        <w:t>Autoriza a seleção de profissionais e a contratação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auto"/>
        </w:rPr>
        <w:t>temporária de excepcional interesse público.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rPr>
          <w:rFonts w:hint="default" w:ascii="Calibri" w:hAnsi="Calibri" w:eastAsia="Segoe UI" w:cs="Calibri"/>
          <w:b w:val="0"/>
          <w:bCs w:val="0"/>
          <w:i w:val="0"/>
          <w:iCs w:val="0"/>
          <w:color w:val="000000"/>
          <w:spacing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>Art. 1º Fica o Executivo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 xml:space="preserve"> Municipal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autorizado a </w:t>
      </w:r>
      <w:r>
        <w:rPr>
          <w:rFonts w:hint="default" w:ascii="Calibri" w:hAnsi="Calibri" w:eastAsia="Times New Roman" w:cs="Calibri"/>
          <w:color w:val="auto"/>
          <w:sz w:val="24"/>
          <w:szCs w:val="24"/>
          <w:shd w:val="clear" w:color="auto" w:fill="auto"/>
          <w:lang w:eastAsia="pt-BR"/>
        </w:rPr>
        <w:t>selecionar profissionais e a contratar, em caráter emergencial,</w:t>
      </w:r>
      <w:r>
        <w:rPr>
          <w:rFonts w:hint="default" w:ascii="Calibri" w:hAnsi="Calibri" w:eastAsia="Times New Roman" w:cs="Calibri"/>
          <w:color w:val="auto"/>
          <w:sz w:val="24"/>
          <w:szCs w:val="24"/>
          <w:shd w:val="clear" w:color="auto" w:fill="auto"/>
          <w:lang w:val="en-US" w:eastAsia="pt-BR"/>
        </w:rPr>
        <w:t xml:space="preserve"> um Monitor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,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para atender a necessidade temporária de excepcional interesse público,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tendo em vista 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exoneração de servidores.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eastAsia="Times New Roman" w:cs="Calibri"/>
          <w:color w:val="auto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auto"/>
          <w:sz w:val="24"/>
          <w:szCs w:val="24"/>
          <w:lang w:eastAsia="pt-BR"/>
        </w:rPr>
        <w:t xml:space="preserve">§ 1º </w:t>
      </w:r>
      <w:r>
        <w:rPr>
          <w:rFonts w:hint="default" w:ascii="Calibri" w:hAnsi="Calibri" w:cs="Calibri"/>
          <w:b w:val="0"/>
          <w:bCs/>
          <w:sz w:val="24"/>
          <w:szCs w:val="24"/>
        </w:rPr>
        <w:t>Os candidatos inscritos deverão submeter-se a uma prova seletiva de títulos, a qual determinará a classificação para posterior contratação temporária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  <w:lang w:val="pt-BR"/>
        </w:rPr>
        <w:t xml:space="preserve">§ 2º </w:t>
      </w: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</w:rPr>
        <w:t>O contrato administrativo ter</w:t>
      </w: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  <w:lang w:val="pt-BR"/>
        </w:rPr>
        <w:t>á</w:t>
      </w: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</w:rPr>
        <w:t xml:space="preserve"> vigência </w:t>
      </w:r>
      <w:r>
        <w:rPr>
          <w:rFonts w:hint="default" w:ascii="Calibri" w:hAnsi="Calibri" w:cs="Calibri"/>
          <w:color w:val="auto"/>
          <w:sz w:val="24"/>
          <w:szCs w:val="24"/>
          <w:shd w:val="clear" w:color="auto" w:fill="auto"/>
          <w:lang w:val="pt-BR"/>
        </w:rPr>
        <w:t>pelo período de 180 (cento e oitenta) dias, a contar de sua assinatura, podendo ser prorrogado por igual período.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§ 3º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Fica o Executivo Municipal autorizado a realizar nova contratação, por meio do processo seletivo descrito nesta Lei se, no prazo do contrato houver pedido de exoneração do contratado.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º As atribuições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que deverão ser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desempenhadas pelo profissiona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contratado são a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quelas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que constam no respectivo Plano de Carreira para o cargo de igual denominação.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Cs/>
          <w:color w:val="auto"/>
          <w:sz w:val="24"/>
          <w:szCs w:val="24"/>
          <w:lang w:val="pt-BR"/>
        </w:rPr>
      </w:pPr>
      <w:bookmarkStart w:id="0" w:name="_GoBack"/>
      <w:bookmarkEnd w:id="0"/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3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º 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A contrataç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ão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 de que trata esta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L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ei ter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á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 a carga horária de trabalho de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4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0 (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quarenta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)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horas semanais</w:t>
      </w:r>
      <w:r>
        <w:rPr>
          <w:rFonts w:hint="default" w:ascii="Calibri" w:hAnsi="Calibri" w:cs="Calibri"/>
          <w:bCs/>
          <w:sz w:val="24"/>
          <w:szCs w:val="24"/>
          <w:shd w:val="clear" w:color="auto" w:fill="auto"/>
          <w:lang w:eastAsia="pt-BR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Art. 4º 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>O profissiona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l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 xml:space="preserve"> contratado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será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 xml:space="preserve"> enquadrado no padrão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 de vencimento nº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05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5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º 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 xml:space="preserve">O contrato de que trata o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artigo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 xml:space="preserve"> 1º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será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 xml:space="preserve"> de natureza administrativa, ficando assegurado ao contratado os direitos previstos nos art. 194, 195 e 198 da Lei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Municipal 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>nº 3.061, de 02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 de janeiro de 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>2008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,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 xml:space="preserve">que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dispõe sobre o 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R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 xml:space="preserve">egime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J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 xml:space="preserve">urídico dos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S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>ervidores 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P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 xml:space="preserve">úblicos do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M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 xml:space="preserve">unicípio de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S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 xml:space="preserve">anto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C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>risto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,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e os art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s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. 1º e 2º das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 xml:space="preserve">Leis Municipais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>nº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s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 3.529/13 e 3.540/13.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lang w:eastAsia="pt-BR"/>
        </w:rPr>
      </w:pP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6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º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708"/>
        <w:jc w:val="both"/>
        <w:textAlignment w:val="auto"/>
        <w:outlineLvl w:val="9"/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7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 xml:space="preserve">º Esta 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Cs/>
          <w:color w:val="auto"/>
          <w:sz w:val="24"/>
          <w:szCs w:val="24"/>
          <w:shd w:val="clear" w:color="auto" w:fill="auto"/>
        </w:rPr>
        <w:t>ei entra em vigor na data de sua publicação.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</w:rPr>
        <w:t>Secretaria Administrativa da Câmara de Vereadores de Santo Cristo/RS</w:t>
      </w:r>
      <w:r>
        <w:rPr>
          <w:rFonts w:hint="default" w:ascii="Calibri" w:hAnsi="Calibri" w:cs="Calibri"/>
          <w:sz w:val="22"/>
          <w:szCs w:val="22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2"/>
          <w:szCs w:val="22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2"/>
          <w:szCs w:val="22"/>
          <w:lang w:eastAsia="en-US"/>
        </w:rPr>
      </w:pPr>
      <w:r>
        <w:rPr>
          <w:rFonts w:hint="default" w:ascii="Calibri" w:hAnsi="Calibri" w:eastAsia="Calibri" w:cs="Calibri"/>
          <w:bCs/>
          <w:sz w:val="22"/>
          <w:szCs w:val="22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Calibri" w:cs="Calibri"/>
          <w:bCs/>
          <w:sz w:val="22"/>
          <w:szCs w:val="22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3384600A"/>
    <w:rsid w:val="33DD431A"/>
    <w:rsid w:val="3567187F"/>
    <w:rsid w:val="35E1729A"/>
    <w:rsid w:val="36480266"/>
    <w:rsid w:val="3A193F66"/>
    <w:rsid w:val="40712A9B"/>
    <w:rsid w:val="493D1276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749E3D25"/>
    <w:rsid w:val="75291736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3</TotalTime>
  <ScaleCrop>false</ScaleCrop>
  <LinksUpToDate>false</LinksUpToDate>
  <CharactersWithSpaces>822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2023-04-04T17:58:29Z</cp:lastPrinted>
  <dcterms:modified xsi:type="dcterms:W3CDTF">2023-04-04T17:58:48Z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A4CAC36A13844BC6ADBFA5E91ACD8F14</vt:lpwstr>
  </property>
</Properties>
</file>