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5C309" w14:textId="77777777" w:rsidR="00C57725" w:rsidRDefault="00C57725" w:rsidP="00C57725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45E4B8" w14:textId="77777777" w:rsidR="00A17DD7" w:rsidRDefault="00A17DD7" w:rsidP="00C57725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6413F4" w14:textId="77777777" w:rsidR="00A17DD7" w:rsidRDefault="00A17DD7" w:rsidP="00C57725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D5E3874" w14:textId="77777777" w:rsidR="00A17DD7" w:rsidRDefault="00A17DD7" w:rsidP="00C57725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B4EE53" w14:textId="77777777" w:rsidR="00C57725" w:rsidRDefault="00C57725" w:rsidP="00C57725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C41E8E" w14:textId="77777777" w:rsidR="00C57725" w:rsidRDefault="00C57725" w:rsidP="00C57725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8E5736" w14:textId="5427B128" w:rsidR="00C57725" w:rsidRPr="00193DF9" w:rsidRDefault="00C57725" w:rsidP="00C57725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3DF9">
        <w:rPr>
          <w:rFonts w:ascii="Arial" w:hAnsi="Arial" w:cs="Arial"/>
          <w:b/>
          <w:bCs/>
          <w:sz w:val="24"/>
          <w:szCs w:val="24"/>
        </w:rPr>
        <w:t xml:space="preserve">PARECER JURÍDICO – nº </w:t>
      </w:r>
      <w:r>
        <w:rPr>
          <w:rFonts w:ascii="Arial" w:hAnsi="Arial" w:cs="Arial"/>
          <w:b/>
          <w:bCs/>
          <w:sz w:val="24"/>
          <w:szCs w:val="24"/>
        </w:rPr>
        <w:t>39</w:t>
      </w:r>
      <w:r w:rsidRPr="00193DF9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6FB46797" w14:textId="77777777" w:rsidR="00C57725" w:rsidRPr="00193DF9" w:rsidRDefault="00C57725" w:rsidP="00C57725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93DF9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Pr="00193DF9">
        <w:rPr>
          <w:rFonts w:ascii="Arial" w:hAnsi="Arial" w:cs="Arial"/>
          <w:bCs/>
          <w:sz w:val="24"/>
          <w:szCs w:val="24"/>
        </w:rPr>
        <w:t xml:space="preserve">PROJETO DE LEI Nº </w:t>
      </w:r>
      <w:r>
        <w:rPr>
          <w:rFonts w:ascii="Arial" w:hAnsi="Arial" w:cs="Arial"/>
          <w:bCs/>
          <w:sz w:val="24"/>
          <w:szCs w:val="24"/>
        </w:rPr>
        <w:t>32</w:t>
      </w:r>
      <w:r w:rsidRPr="00193DF9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  <w:sz w:val="24"/>
          <w:szCs w:val="24"/>
        </w:rPr>
        <w:t>3</w:t>
      </w:r>
    </w:p>
    <w:p w14:paraId="76F6F5CD" w14:textId="77777777" w:rsidR="00C57725" w:rsidRPr="00193DF9" w:rsidRDefault="00C57725" w:rsidP="00C57725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93DF9">
        <w:rPr>
          <w:rFonts w:ascii="Arial" w:hAnsi="Arial" w:cs="Arial"/>
          <w:b/>
          <w:bCs/>
          <w:sz w:val="24"/>
          <w:szCs w:val="24"/>
        </w:rPr>
        <w:t xml:space="preserve">AUTORIA: </w:t>
      </w:r>
      <w:r w:rsidRPr="00193DF9">
        <w:rPr>
          <w:rFonts w:ascii="Arial" w:hAnsi="Arial" w:cs="Arial"/>
          <w:bCs/>
          <w:sz w:val="24"/>
          <w:szCs w:val="24"/>
        </w:rPr>
        <w:t>PODER EXECUTIVO</w:t>
      </w:r>
    </w:p>
    <w:p w14:paraId="7B40BF11" w14:textId="77777777" w:rsidR="00C57725" w:rsidRPr="002D346B" w:rsidRDefault="00C57725" w:rsidP="00C57725">
      <w:pPr>
        <w:pStyle w:val="Commarcadores"/>
        <w:numPr>
          <w:ilvl w:val="0"/>
          <w:numId w:val="0"/>
        </w:numPr>
        <w:ind w:left="1134" w:hanging="1134"/>
        <w:jc w:val="both"/>
        <w:rPr>
          <w:rFonts w:ascii="Arial" w:hAnsi="Arial" w:cs="Arial"/>
          <w:szCs w:val="20"/>
        </w:rPr>
      </w:pPr>
      <w:r w:rsidRPr="002D346B">
        <w:rPr>
          <w:rFonts w:ascii="Arial" w:hAnsi="Arial" w:cs="Arial"/>
          <w:b/>
        </w:rPr>
        <w:t>EMENTA</w:t>
      </w:r>
      <w:r>
        <w:rPr>
          <w:rFonts w:ascii="Arial" w:hAnsi="Arial" w:cs="Arial"/>
        </w:rPr>
        <w:t>: Autoriza o Executivo Municipal a ajustar parceria com a Associação Literária Mário Quintana – ALMA.</w:t>
      </w:r>
      <w:r w:rsidRPr="002D346B">
        <w:rPr>
          <w:rFonts w:ascii="Arial" w:hAnsi="Arial" w:cs="Arial"/>
        </w:rPr>
        <w:t xml:space="preserve">             </w:t>
      </w:r>
    </w:p>
    <w:p w14:paraId="7DEEEA48" w14:textId="77777777" w:rsidR="00C57725" w:rsidRPr="002D346B" w:rsidRDefault="00C57725" w:rsidP="00C57725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szCs w:val="20"/>
        </w:rPr>
      </w:pPr>
    </w:p>
    <w:p w14:paraId="519EB6C7" w14:textId="77777777" w:rsidR="00C57725" w:rsidRPr="002D346B" w:rsidRDefault="00C57725" w:rsidP="00C57725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szCs w:val="20"/>
        </w:rPr>
      </w:pPr>
    </w:p>
    <w:p w14:paraId="50D6DC6A" w14:textId="77777777" w:rsidR="00C57725" w:rsidRDefault="00C57725" w:rsidP="00C5772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C0C7A5A" w14:textId="77777777" w:rsidR="00C57725" w:rsidRDefault="00C57725" w:rsidP="00C57725">
      <w:pPr>
        <w:spacing w:after="0" w:line="240" w:lineRule="auto"/>
        <w:ind w:left="1200" w:hanging="1200"/>
        <w:jc w:val="both"/>
        <w:rPr>
          <w:rFonts w:ascii="Arial" w:hAnsi="Arial" w:cs="Arial"/>
        </w:rPr>
      </w:pPr>
    </w:p>
    <w:p w14:paraId="25BE90A2" w14:textId="77777777" w:rsidR="00C57725" w:rsidRDefault="00C57725" w:rsidP="00C57725">
      <w:pPr>
        <w:spacing w:after="0" w:line="240" w:lineRule="auto"/>
        <w:ind w:left="1200" w:hanging="1200"/>
        <w:jc w:val="both"/>
        <w:rPr>
          <w:rFonts w:ascii="Arial" w:hAnsi="Arial" w:cs="Arial"/>
        </w:rPr>
      </w:pPr>
    </w:p>
    <w:p w14:paraId="1ABF6AB3" w14:textId="77777777" w:rsidR="00C57725" w:rsidRDefault="00C57725" w:rsidP="00C57725">
      <w:pPr>
        <w:spacing w:after="0" w:line="240" w:lineRule="auto"/>
        <w:ind w:left="1200" w:hanging="1200"/>
        <w:jc w:val="both"/>
        <w:rPr>
          <w:rFonts w:ascii="Arial" w:hAnsi="Arial" w:cs="Arial"/>
        </w:rPr>
      </w:pPr>
    </w:p>
    <w:p w14:paraId="3C6D1252" w14:textId="77777777" w:rsidR="00C57725" w:rsidRDefault="00C57725" w:rsidP="00C57725">
      <w:pPr>
        <w:spacing w:after="0" w:line="240" w:lineRule="auto"/>
        <w:ind w:left="1200" w:hanging="1200"/>
        <w:jc w:val="both"/>
        <w:rPr>
          <w:rFonts w:ascii="Arial" w:hAnsi="Arial" w:cs="Arial"/>
        </w:rPr>
      </w:pPr>
    </w:p>
    <w:p w14:paraId="758DCD52" w14:textId="77777777" w:rsidR="00C57725" w:rsidRDefault="00C57725" w:rsidP="00C57725">
      <w:pPr>
        <w:spacing w:after="0" w:line="240" w:lineRule="auto"/>
        <w:jc w:val="both"/>
        <w:rPr>
          <w:rFonts w:ascii="Arial" w:hAnsi="Arial" w:cs="Arial"/>
        </w:rPr>
      </w:pPr>
    </w:p>
    <w:p w14:paraId="5C0AC0D1" w14:textId="77777777" w:rsidR="00C57725" w:rsidRDefault="00C57725" w:rsidP="00C57725">
      <w:pPr>
        <w:spacing w:after="0" w:line="240" w:lineRule="auto"/>
        <w:ind w:left="1200" w:hanging="1200"/>
        <w:jc w:val="both"/>
        <w:rPr>
          <w:rFonts w:ascii="Arial" w:hAnsi="Arial" w:cs="Arial"/>
        </w:rPr>
      </w:pPr>
    </w:p>
    <w:p w14:paraId="2393FFD9" w14:textId="77777777" w:rsidR="00C57725" w:rsidRPr="00887111" w:rsidRDefault="00C57725" w:rsidP="00C57725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887111">
        <w:rPr>
          <w:rFonts w:ascii="Arial" w:hAnsi="Arial" w:cs="Arial"/>
          <w:b/>
          <w:sz w:val="24"/>
          <w:szCs w:val="24"/>
        </w:rPr>
        <w:t>RELATÓRIO:</w:t>
      </w:r>
    </w:p>
    <w:p w14:paraId="7FCAED36" w14:textId="77777777" w:rsidR="00C57725" w:rsidRDefault="00C57725" w:rsidP="00C57725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26FB3877" w14:textId="77777777" w:rsidR="00C57725" w:rsidRPr="002D346B" w:rsidRDefault="00C57725" w:rsidP="00C57725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szCs w:val="20"/>
        </w:rPr>
      </w:pPr>
      <w:r w:rsidRPr="002D346B">
        <w:rPr>
          <w:rFonts w:ascii="Arial" w:hAnsi="Arial" w:cs="Arial"/>
        </w:rPr>
        <w:t xml:space="preserve">Foi encaminhado a esta Assessoria Jurídica, para emissão de parecer, o Projeto de Lei nº </w:t>
      </w:r>
      <w:r>
        <w:rPr>
          <w:rFonts w:ascii="Arial" w:hAnsi="Arial" w:cs="Arial"/>
        </w:rPr>
        <w:t>32</w:t>
      </w:r>
      <w:r w:rsidRPr="002D346B">
        <w:rPr>
          <w:rFonts w:ascii="Arial" w:hAnsi="Arial" w:cs="Arial"/>
        </w:rPr>
        <w:t>/20</w:t>
      </w:r>
      <w:r>
        <w:rPr>
          <w:rFonts w:ascii="Arial" w:hAnsi="Arial" w:cs="Arial"/>
        </w:rPr>
        <w:t>23</w:t>
      </w:r>
      <w:r w:rsidRPr="002D346B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23 de março d</w:t>
      </w:r>
      <w:r w:rsidRPr="002D346B">
        <w:rPr>
          <w:rFonts w:ascii="Arial" w:hAnsi="Arial" w:cs="Arial"/>
        </w:rPr>
        <w:t>e 20</w:t>
      </w:r>
      <w:r>
        <w:rPr>
          <w:rFonts w:ascii="Arial" w:hAnsi="Arial" w:cs="Arial"/>
        </w:rPr>
        <w:t>23</w:t>
      </w:r>
      <w:r w:rsidRPr="002D346B">
        <w:rPr>
          <w:rFonts w:ascii="Arial" w:hAnsi="Arial" w:cs="Arial"/>
        </w:rPr>
        <w:t xml:space="preserve">, de autoria do </w:t>
      </w:r>
      <w:r>
        <w:rPr>
          <w:rFonts w:ascii="Arial" w:hAnsi="Arial" w:cs="Arial"/>
        </w:rPr>
        <w:t>Poder Executivo</w:t>
      </w:r>
      <w:r w:rsidRPr="002D346B">
        <w:rPr>
          <w:rFonts w:ascii="Arial" w:hAnsi="Arial" w:cs="Arial"/>
        </w:rPr>
        <w:t xml:space="preserve">, que tem por escopo </w:t>
      </w:r>
      <w:r>
        <w:rPr>
          <w:rFonts w:ascii="Arial" w:hAnsi="Arial" w:cs="Arial"/>
        </w:rPr>
        <w:t>autorizar o Executivo Municipal a ajustar parceria com</w:t>
      </w:r>
      <w:r w:rsidRPr="00BE36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Associação Literária Mário Quintana – ALMA.</w:t>
      </w:r>
      <w:r w:rsidRPr="002D346B">
        <w:rPr>
          <w:rFonts w:ascii="Arial" w:hAnsi="Arial" w:cs="Arial"/>
        </w:rPr>
        <w:t xml:space="preserve">             </w:t>
      </w:r>
    </w:p>
    <w:p w14:paraId="0EB1ECD9" w14:textId="77777777" w:rsidR="00C57725" w:rsidRDefault="00C57725" w:rsidP="00C57725">
      <w:pPr>
        <w:pStyle w:val="Commarcadores"/>
        <w:numPr>
          <w:ilvl w:val="0"/>
          <w:numId w:val="0"/>
        </w:numPr>
        <w:jc w:val="both"/>
        <w:rPr>
          <w:rFonts w:ascii="Arial" w:hAnsi="Arial" w:cs="Arial"/>
        </w:rPr>
      </w:pPr>
    </w:p>
    <w:p w14:paraId="5AD7FC79" w14:textId="77777777" w:rsidR="00C57725" w:rsidRPr="002D346B" w:rsidRDefault="00C57725" w:rsidP="00C57725">
      <w:pPr>
        <w:pStyle w:val="Commarcadores"/>
        <w:numPr>
          <w:ilvl w:val="0"/>
          <w:numId w:val="0"/>
        </w:numPr>
        <w:ind w:left="360" w:firstLine="1767"/>
        <w:jc w:val="both"/>
        <w:rPr>
          <w:rFonts w:ascii="Arial" w:hAnsi="Arial" w:cs="Arial"/>
        </w:rPr>
      </w:pPr>
      <w:r w:rsidRPr="002D346B">
        <w:rPr>
          <w:rFonts w:ascii="Arial" w:hAnsi="Arial" w:cs="Arial"/>
        </w:rPr>
        <w:t>É o relatório.</w:t>
      </w:r>
    </w:p>
    <w:p w14:paraId="2AFD9E47" w14:textId="77777777" w:rsidR="00C57725" w:rsidRPr="002D346B" w:rsidRDefault="00C57725" w:rsidP="00C57725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2D346B">
        <w:rPr>
          <w:rFonts w:ascii="Arial" w:hAnsi="Arial" w:cs="Arial"/>
        </w:rPr>
        <w:tab/>
      </w:r>
      <w:r w:rsidRPr="002D346B">
        <w:rPr>
          <w:rFonts w:ascii="Arial" w:hAnsi="Arial" w:cs="Arial"/>
        </w:rPr>
        <w:tab/>
      </w:r>
      <w:r w:rsidRPr="002D346B">
        <w:rPr>
          <w:rFonts w:ascii="Arial" w:hAnsi="Arial" w:cs="Arial"/>
        </w:rPr>
        <w:tab/>
      </w:r>
    </w:p>
    <w:p w14:paraId="5EADC7FB" w14:textId="77777777" w:rsidR="00C57725" w:rsidRPr="002D346B" w:rsidRDefault="00C57725" w:rsidP="00C57725">
      <w:pPr>
        <w:pStyle w:val="Commarcadores"/>
        <w:numPr>
          <w:ilvl w:val="0"/>
          <w:numId w:val="0"/>
        </w:numPr>
        <w:ind w:left="360" w:firstLine="1767"/>
        <w:jc w:val="both"/>
        <w:rPr>
          <w:rFonts w:ascii="Arial" w:hAnsi="Arial" w:cs="Arial"/>
        </w:rPr>
      </w:pPr>
      <w:r w:rsidRPr="002D346B">
        <w:rPr>
          <w:rFonts w:ascii="Arial" w:hAnsi="Arial" w:cs="Arial"/>
        </w:rPr>
        <w:t>Passo a análise jurídica.</w:t>
      </w:r>
    </w:p>
    <w:p w14:paraId="4BDDDF3F" w14:textId="77777777" w:rsidR="00C57725" w:rsidRPr="002D346B" w:rsidRDefault="00C57725" w:rsidP="00C57725">
      <w:pPr>
        <w:pStyle w:val="Commarcadores"/>
        <w:numPr>
          <w:ilvl w:val="0"/>
          <w:numId w:val="0"/>
        </w:numPr>
        <w:jc w:val="both"/>
        <w:rPr>
          <w:rFonts w:ascii="Arial" w:hAnsi="Arial" w:cs="Arial"/>
        </w:rPr>
      </w:pPr>
    </w:p>
    <w:p w14:paraId="19CA3F6B" w14:textId="77777777" w:rsidR="00C57725" w:rsidRPr="002D346B" w:rsidRDefault="00C57725" w:rsidP="00C57725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  <w:r w:rsidRPr="002D346B">
        <w:rPr>
          <w:rFonts w:ascii="Arial" w:hAnsi="Arial" w:cs="Arial"/>
        </w:rPr>
        <w:tab/>
      </w:r>
      <w:r w:rsidRPr="002D346B">
        <w:rPr>
          <w:rFonts w:ascii="Arial" w:hAnsi="Arial" w:cs="Arial"/>
        </w:rPr>
        <w:tab/>
      </w:r>
      <w:r w:rsidRPr="002D346B">
        <w:rPr>
          <w:rFonts w:ascii="Arial" w:hAnsi="Arial" w:cs="Arial"/>
        </w:rPr>
        <w:tab/>
      </w:r>
      <w:r w:rsidRPr="002D346B">
        <w:rPr>
          <w:rFonts w:ascii="Arial" w:hAnsi="Arial" w:cs="Arial"/>
        </w:rPr>
        <w:tab/>
      </w:r>
      <w:r w:rsidRPr="002D346B">
        <w:rPr>
          <w:rFonts w:ascii="Arial" w:hAnsi="Arial" w:cs="Arial"/>
          <w:b/>
        </w:rPr>
        <w:t>ANALISE JURÍDICA:</w:t>
      </w:r>
    </w:p>
    <w:p w14:paraId="7EEFA2F1" w14:textId="77777777" w:rsidR="00C57725" w:rsidRDefault="00C57725" w:rsidP="00C57725">
      <w:pPr>
        <w:pStyle w:val="Commarcadores"/>
        <w:numPr>
          <w:ilvl w:val="0"/>
          <w:numId w:val="0"/>
        </w:numPr>
        <w:jc w:val="both"/>
        <w:rPr>
          <w:rFonts w:ascii="Arial" w:hAnsi="Arial" w:cs="Arial"/>
        </w:rPr>
      </w:pPr>
    </w:p>
    <w:p w14:paraId="4A4AE4CC" w14:textId="77777777" w:rsidR="00C57725" w:rsidRDefault="00C57725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  <w:r w:rsidRPr="002D346B">
        <w:rPr>
          <w:rFonts w:ascii="Arial" w:hAnsi="Arial" w:cs="Arial"/>
        </w:rPr>
        <w:t xml:space="preserve">Da análise do projeto de lei verifica-se a intenção do </w:t>
      </w:r>
      <w:r>
        <w:rPr>
          <w:rFonts w:ascii="Arial" w:hAnsi="Arial" w:cs="Arial"/>
        </w:rPr>
        <w:t>Executivo</w:t>
      </w:r>
      <w:r w:rsidRPr="002D346B">
        <w:rPr>
          <w:rFonts w:ascii="Arial" w:hAnsi="Arial" w:cs="Arial"/>
        </w:rPr>
        <w:t xml:space="preserve"> Municipal em </w:t>
      </w:r>
      <w:r>
        <w:rPr>
          <w:rFonts w:ascii="Arial" w:hAnsi="Arial" w:cs="Arial"/>
        </w:rPr>
        <w:t xml:space="preserve">repassar a entidade acima nominada o valor de R$ 3.200,00 (três mil e duzentos reais), que será destinado para a cobertura dos custos de impressão de 300 exemplares do 1º Concurso de Quadrinhas da Alma e custos de envio de exemplares aos premiados no referido concurso, visando a consecução de finalidade de interesse público, conforme refere o projeto de trabalho detalhado anexo. </w:t>
      </w:r>
    </w:p>
    <w:p w14:paraId="2246636A" w14:textId="77777777" w:rsidR="00C57725" w:rsidRDefault="00C57725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</w:p>
    <w:p w14:paraId="363839A8" w14:textId="2BD4EAF4" w:rsidR="00C57725" w:rsidRDefault="00C57725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Refere ainda na justificativa do projeto que o Concurso Literário tem por objetivo a promoção de produção literária e divulgação de resultados em livros, estimulando a produção poética e a leitura.</w:t>
      </w:r>
    </w:p>
    <w:p w14:paraId="2608A9D1" w14:textId="77777777" w:rsidR="00C57725" w:rsidRDefault="00C57725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</w:p>
    <w:p w14:paraId="5A7CDC3A" w14:textId="77777777" w:rsidR="00C57725" w:rsidRDefault="00C57725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</w:p>
    <w:p w14:paraId="02A8988E" w14:textId="77777777" w:rsidR="00A17DD7" w:rsidRDefault="00A17DD7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</w:p>
    <w:p w14:paraId="18F12DF8" w14:textId="77777777" w:rsidR="00A17DD7" w:rsidRDefault="00A17DD7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</w:p>
    <w:p w14:paraId="777D4747" w14:textId="77777777" w:rsidR="00A17DD7" w:rsidRDefault="00A17DD7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</w:p>
    <w:p w14:paraId="1C246AE0" w14:textId="77777777" w:rsidR="00A17DD7" w:rsidRDefault="00A17DD7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</w:p>
    <w:p w14:paraId="3C24E56C" w14:textId="77777777" w:rsidR="00A17DD7" w:rsidRDefault="00A17DD7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</w:p>
    <w:p w14:paraId="067A31B6" w14:textId="77777777" w:rsidR="00C57725" w:rsidRDefault="00C57725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</w:p>
    <w:p w14:paraId="6E82361A" w14:textId="77777777" w:rsidR="00A17DD7" w:rsidRDefault="00A17DD7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</w:p>
    <w:p w14:paraId="1462636E" w14:textId="77777777" w:rsidR="00A17DD7" w:rsidRDefault="00A17DD7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</w:p>
    <w:p w14:paraId="44380CD0" w14:textId="77777777" w:rsidR="00C57725" w:rsidRDefault="00C57725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</w:p>
    <w:p w14:paraId="35676ADA" w14:textId="18D1D07D" w:rsidR="00C57725" w:rsidRDefault="00C57725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  <w:r w:rsidRPr="00B449C9">
        <w:rPr>
          <w:rFonts w:ascii="Arial" w:hAnsi="Arial" w:cs="Arial"/>
        </w:rPr>
        <w:t xml:space="preserve">Preliminarmente, cabe mencionar que a Lei nº 13.019, de 2014, estabelece o regime jurídico das parcerias entre a administração pública e as organizações da sociedade civil, em regime de mútua cooperação, </w:t>
      </w:r>
      <w:r w:rsidRPr="00B449C9">
        <w:rPr>
          <w:rFonts w:ascii="Arial" w:hAnsi="Arial" w:cs="Arial"/>
          <w:b/>
        </w:rPr>
        <w:t>para a consecução de finalidades de interesse público e recíproco</w:t>
      </w:r>
      <w:r w:rsidRPr="00B449C9">
        <w:rPr>
          <w:rFonts w:ascii="Arial" w:hAnsi="Arial" w:cs="Arial"/>
        </w:rPr>
        <w:t xml:space="preserve">, </w:t>
      </w:r>
      <w:r w:rsidRPr="00B449C9">
        <w:rPr>
          <w:rFonts w:ascii="Arial" w:hAnsi="Arial" w:cs="Arial"/>
          <w:b/>
        </w:rPr>
        <w:t>mediante a execução de atividades ou de projetos previamente estabelecidos em planos de trabalho inseridos em termos de colaboração, em termos de fomento ou em acordos de cooperação</w:t>
      </w:r>
      <w:r w:rsidRPr="00B449C9">
        <w:rPr>
          <w:rFonts w:ascii="Arial" w:hAnsi="Arial" w:cs="Arial"/>
        </w:rPr>
        <w:t xml:space="preserve">. </w:t>
      </w:r>
    </w:p>
    <w:p w14:paraId="5B7B0250" w14:textId="77777777" w:rsidR="00C57725" w:rsidRDefault="00C57725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</w:p>
    <w:p w14:paraId="4701A8D4" w14:textId="0160AC02" w:rsidR="00C57725" w:rsidRDefault="00C57725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  <w:r w:rsidRPr="00B449C9">
        <w:rPr>
          <w:rFonts w:ascii="Arial" w:hAnsi="Arial" w:cs="Arial"/>
        </w:rPr>
        <w:t xml:space="preserve">Assim, para o caso em tela, o objeto mencionado poderá estar atrelado à parceria, desde que comprovada a relação de mútua cooperação. Sempre se ressalta que um dos primeiros passos para a análise de aplicação da Lei nº 13.019, de 2014, é a verificação do objeto, assim como a avaliação se a entidade cumpre com os principais requisitos, constantes no inciso I do art. 2º, </w:t>
      </w:r>
      <w:proofErr w:type="spellStart"/>
      <w:r w:rsidRPr="00B449C9">
        <w:rPr>
          <w:rFonts w:ascii="Arial" w:hAnsi="Arial" w:cs="Arial"/>
        </w:rPr>
        <w:t>arts</w:t>
      </w:r>
      <w:proofErr w:type="spellEnd"/>
      <w:r w:rsidRPr="00B449C9">
        <w:rPr>
          <w:rFonts w:ascii="Arial" w:hAnsi="Arial" w:cs="Arial"/>
        </w:rPr>
        <w:t xml:space="preserve">. 33 e 34 da Lei nº 13.019, de 2014, para atuar em parceria com o poder público, e que não incorra no disposto do art. 39, que trata das vedações. </w:t>
      </w:r>
    </w:p>
    <w:p w14:paraId="25B6AA01" w14:textId="77777777" w:rsidR="00C57725" w:rsidRDefault="00C57725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  <w:r w:rsidRPr="00B449C9">
        <w:rPr>
          <w:rFonts w:ascii="Arial" w:hAnsi="Arial" w:cs="Arial"/>
        </w:rPr>
        <w:t xml:space="preserve">A contribuição a entidade poderá ser repassada como subvenção social </w:t>
      </w:r>
      <w:r>
        <w:rPr>
          <w:rFonts w:ascii="Arial" w:hAnsi="Arial" w:cs="Arial"/>
        </w:rPr>
        <w:t>assistencial</w:t>
      </w:r>
      <w:r w:rsidRPr="00B449C9">
        <w:rPr>
          <w:rFonts w:ascii="Arial" w:hAnsi="Arial" w:cs="Arial"/>
        </w:rPr>
        <w:t>, através de lei específica nos termos d</w:t>
      </w:r>
      <w:r>
        <w:rPr>
          <w:rFonts w:ascii="Arial" w:hAnsi="Arial" w:cs="Arial"/>
        </w:rPr>
        <w:t>o art. 26 da Lei Complementar nº</w:t>
      </w:r>
      <w:r w:rsidRPr="00B449C9">
        <w:rPr>
          <w:rFonts w:ascii="Arial" w:hAnsi="Arial" w:cs="Arial"/>
        </w:rPr>
        <w:t xml:space="preserve"> 101, de 2000 (Lei de Responsabilidade Fiscal), em virtude da realização de repasse financeiro. </w:t>
      </w:r>
    </w:p>
    <w:p w14:paraId="6BA4ABCC" w14:textId="77777777" w:rsidR="00C57725" w:rsidRDefault="00C57725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</w:p>
    <w:p w14:paraId="275F9D3C" w14:textId="77777777" w:rsidR="00C57725" w:rsidRDefault="00C57725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  <w:r w:rsidRPr="00B449C9">
        <w:rPr>
          <w:rFonts w:ascii="Arial" w:hAnsi="Arial" w:cs="Arial"/>
        </w:rPr>
        <w:t xml:space="preserve">Embora não seja necessária a informação no corpo do texto quanto ao enquadramento de possível parceria nos moldes da referida lei, uma vez que o </w:t>
      </w:r>
      <w:r>
        <w:rPr>
          <w:rFonts w:ascii="Arial" w:hAnsi="Arial" w:cs="Arial"/>
        </w:rPr>
        <w:t xml:space="preserve">que </w:t>
      </w:r>
      <w:r w:rsidRPr="00B449C9">
        <w:rPr>
          <w:rFonts w:ascii="Arial" w:hAnsi="Arial" w:cs="Arial"/>
        </w:rPr>
        <w:t xml:space="preserve">se busca com o presente projeto de lei é a autorização Legislativa nos termos do art. 26 da Lei de Responsabilidade Fiscal, a Administração deverá, por conseguinte, identificar se será hipótese de dispensa, inexigibilidade ou parceria resultante de chamamento público. </w:t>
      </w:r>
    </w:p>
    <w:p w14:paraId="1A1FBE79" w14:textId="77777777" w:rsidR="00C57725" w:rsidRDefault="00C57725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</w:p>
    <w:p w14:paraId="4EDAD9DC" w14:textId="77777777" w:rsidR="00C57725" w:rsidRPr="00062F0E" w:rsidRDefault="00C57725" w:rsidP="00C57725">
      <w:pPr>
        <w:pStyle w:val="Commarcadores"/>
        <w:numPr>
          <w:ilvl w:val="0"/>
          <w:numId w:val="0"/>
        </w:numPr>
        <w:ind w:left="1776" w:firstLine="348"/>
        <w:jc w:val="both"/>
        <w:rPr>
          <w:rFonts w:ascii="Arial" w:hAnsi="Arial" w:cs="Arial"/>
          <w:b/>
        </w:rPr>
      </w:pPr>
      <w:r w:rsidRPr="00062F0E">
        <w:rPr>
          <w:rFonts w:ascii="Arial" w:hAnsi="Arial" w:cs="Arial"/>
          <w:b/>
        </w:rPr>
        <w:t>CONCLUSÃO:</w:t>
      </w:r>
    </w:p>
    <w:p w14:paraId="3CE4A5B6" w14:textId="77777777" w:rsidR="00C57725" w:rsidRDefault="00C57725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</w:p>
    <w:p w14:paraId="2AB61A53" w14:textId="77777777" w:rsidR="00C57725" w:rsidRPr="00B449C9" w:rsidRDefault="00C57725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  <w:r w:rsidRPr="00B449C9">
        <w:rPr>
          <w:rFonts w:ascii="Arial" w:hAnsi="Arial" w:cs="Arial"/>
        </w:rPr>
        <w:t xml:space="preserve">Por todo o exposto, conclui-se </w:t>
      </w:r>
      <w:r>
        <w:rPr>
          <w:rFonts w:ascii="Arial" w:hAnsi="Arial" w:cs="Arial"/>
        </w:rPr>
        <w:t xml:space="preserve">pela </w:t>
      </w:r>
      <w:r w:rsidRPr="00B449C9">
        <w:rPr>
          <w:rFonts w:ascii="Arial" w:hAnsi="Arial" w:cs="Arial"/>
        </w:rPr>
        <w:t>viabilidade da parceria</w:t>
      </w:r>
      <w:r>
        <w:rPr>
          <w:rFonts w:ascii="Arial" w:hAnsi="Arial" w:cs="Arial"/>
        </w:rPr>
        <w:t xml:space="preserve"> ora apresentada no projeto nº 32/2023</w:t>
      </w:r>
      <w:r w:rsidRPr="00B449C9">
        <w:rPr>
          <w:rFonts w:ascii="Arial" w:hAnsi="Arial" w:cs="Arial"/>
        </w:rPr>
        <w:t xml:space="preserve">, com a comprovação de requisitos, como os constantes no </w:t>
      </w:r>
      <w:r>
        <w:rPr>
          <w:rFonts w:ascii="Arial" w:hAnsi="Arial" w:cs="Arial"/>
        </w:rPr>
        <w:t xml:space="preserve">inciso I art. 2º, </w:t>
      </w:r>
      <w:proofErr w:type="spellStart"/>
      <w:r>
        <w:rPr>
          <w:rFonts w:ascii="Arial" w:hAnsi="Arial" w:cs="Arial"/>
        </w:rPr>
        <w:t>arts</w:t>
      </w:r>
      <w:proofErr w:type="spellEnd"/>
      <w:r>
        <w:rPr>
          <w:rFonts w:ascii="Arial" w:hAnsi="Arial" w:cs="Arial"/>
        </w:rPr>
        <w:t>. 33 e 34, da Lei 13.019/2004,</w:t>
      </w:r>
      <w:r w:rsidRPr="00B449C9">
        <w:rPr>
          <w:rFonts w:ascii="Arial" w:hAnsi="Arial" w:cs="Arial"/>
        </w:rPr>
        <w:t xml:space="preserve"> para atuar em parceria com o poder público, bem como não incorra no disposto do art. 39, que trata das vedações.</w:t>
      </w:r>
    </w:p>
    <w:p w14:paraId="271CA883" w14:textId="77777777" w:rsidR="00C57725" w:rsidRDefault="00C57725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</w:p>
    <w:p w14:paraId="11797293" w14:textId="77777777" w:rsidR="00C57725" w:rsidRPr="002D346B" w:rsidRDefault="00C57725" w:rsidP="00C57725">
      <w:pPr>
        <w:pStyle w:val="Commarcadores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D346B">
        <w:rPr>
          <w:rFonts w:ascii="Arial" w:hAnsi="Arial" w:cs="Arial"/>
        </w:rPr>
        <w:t>Nestes termos, é o PARECER.</w:t>
      </w:r>
    </w:p>
    <w:p w14:paraId="7B2D21BA" w14:textId="77777777" w:rsidR="00C57725" w:rsidRPr="002D346B" w:rsidRDefault="00C57725" w:rsidP="00C57725">
      <w:pPr>
        <w:pStyle w:val="Commarcadores"/>
        <w:numPr>
          <w:ilvl w:val="0"/>
          <w:numId w:val="0"/>
        </w:numPr>
        <w:ind w:firstLine="2127"/>
        <w:jc w:val="both"/>
        <w:rPr>
          <w:rFonts w:ascii="Arial" w:hAnsi="Arial" w:cs="Arial"/>
        </w:rPr>
      </w:pPr>
      <w:r w:rsidRPr="002D346B">
        <w:rPr>
          <w:rFonts w:ascii="Arial" w:hAnsi="Arial" w:cs="Arial"/>
        </w:rPr>
        <w:t xml:space="preserve">Santo Cristo, </w:t>
      </w:r>
      <w:r>
        <w:rPr>
          <w:rFonts w:ascii="Arial" w:hAnsi="Arial" w:cs="Arial"/>
        </w:rPr>
        <w:t xml:space="preserve">03 de abril </w:t>
      </w:r>
      <w:r w:rsidRPr="002D346B">
        <w:rPr>
          <w:rFonts w:ascii="Arial" w:hAnsi="Arial" w:cs="Arial"/>
        </w:rPr>
        <w:t>de 20</w:t>
      </w:r>
      <w:r>
        <w:rPr>
          <w:rFonts w:ascii="Arial" w:hAnsi="Arial" w:cs="Arial"/>
        </w:rPr>
        <w:t>23</w:t>
      </w:r>
      <w:r w:rsidRPr="002D346B">
        <w:rPr>
          <w:rFonts w:ascii="Arial" w:hAnsi="Arial" w:cs="Arial"/>
        </w:rPr>
        <w:t>.</w:t>
      </w:r>
    </w:p>
    <w:p w14:paraId="0D73E2D8" w14:textId="77777777" w:rsidR="00C57725" w:rsidRDefault="00C57725" w:rsidP="00C57725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31D23F21" w14:textId="77777777" w:rsidR="00C57725" w:rsidRDefault="00C57725" w:rsidP="00C57725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69CC937A" w14:textId="77777777" w:rsidR="00C57725" w:rsidRDefault="00C57725" w:rsidP="00C57725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68429BE4" w14:textId="77777777" w:rsidR="00C57725" w:rsidRPr="00C607F2" w:rsidRDefault="00C57725" w:rsidP="00C57725">
      <w:pPr>
        <w:pStyle w:val="Commarcadores"/>
        <w:numPr>
          <w:ilvl w:val="0"/>
          <w:numId w:val="0"/>
        </w:numPr>
        <w:ind w:left="360" w:firstLine="1908"/>
        <w:jc w:val="both"/>
        <w:rPr>
          <w:rFonts w:ascii="Arial" w:hAnsi="Arial" w:cs="Arial"/>
          <w:lang w:val="en-US"/>
        </w:rPr>
      </w:pPr>
      <w:proofErr w:type="spellStart"/>
      <w:r w:rsidRPr="00C607F2">
        <w:rPr>
          <w:rFonts w:ascii="Arial" w:hAnsi="Arial" w:cs="Arial"/>
          <w:lang w:val="en-US"/>
        </w:rPr>
        <w:t>Liane</w:t>
      </w:r>
      <w:proofErr w:type="spellEnd"/>
      <w:r w:rsidRPr="00C607F2">
        <w:rPr>
          <w:rFonts w:ascii="Arial" w:hAnsi="Arial" w:cs="Arial"/>
          <w:lang w:val="en-US"/>
        </w:rPr>
        <w:t xml:space="preserve"> </w:t>
      </w:r>
      <w:proofErr w:type="spellStart"/>
      <w:r w:rsidRPr="00C607F2">
        <w:rPr>
          <w:rFonts w:ascii="Arial" w:hAnsi="Arial" w:cs="Arial"/>
          <w:lang w:val="en-US"/>
        </w:rPr>
        <w:t>Gorete</w:t>
      </w:r>
      <w:proofErr w:type="spellEnd"/>
      <w:r w:rsidRPr="00C607F2">
        <w:rPr>
          <w:rFonts w:ascii="Arial" w:hAnsi="Arial" w:cs="Arial"/>
          <w:lang w:val="en-US"/>
        </w:rPr>
        <w:t xml:space="preserve"> </w:t>
      </w:r>
      <w:proofErr w:type="spellStart"/>
      <w:r w:rsidRPr="00C607F2">
        <w:rPr>
          <w:rFonts w:ascii="Arial" w:hAnsi="Arial" w:cs="Arial"/>
          <w:lang w:val="en-US"/>
        </w:rPr>
        <w:t>Munchen</w:t>
      </w:r>
      <w:proofErr w:type="spellEnd"/>
      <w:r w:rsidRPr="00C607F2">
        <w:rPr>
          <w:rFonts w:ascii="Arial" w:hAnsi="Arial" w:cs="Arial"/>
          <w:lang w:val="en-US"/>
        </w:rPr>
        <w:t xml:space="preserve"> – OAB/RS 59.764</w:t>
      </w:r>
    </w:p>
    <w:p w14:paraId="5E635B3C" w14:textId="77777777" w:rsidR="00C57725" w:rsidRPr="002D346B" w:rsidRDefault="00C57725" w:rsidP="00C57725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C607F2">
        <w:rPr>
          <w:rFonts w:ascii="Arial" w:hAnsi="Arial" w:cs="Arial"/>
          <w:lang w:val="en-US"/>
        </w:rPr>
        <w:t xml:space="preserve">                                           </w:t>
      </w:r>
      <w:r w:rsidRPr="002D346B">
        <w:rPr>
          <w:rFonts w:ascii="Arial" w:hAnsi="Arial" w:cs="Arial"/>
        </w:rPr>
        <w:t>ASSESSORA JURÍDICA</w:t>
      </w:r>
      <w:bookmarkStart w:id="0" w:name="_GoBack"/>
      <w:bookmarkEnd w:id="0"/>
    </w:p>
    <w:sectPr w:rsidR="00C57725" w:rsidRPr="002D3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DCF56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25"/>
    <w:rsid w:val="00A17DD7"/>
    <w:rsid w:val="00C5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5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7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C57725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7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C57725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</dc:creator>
  <cp:keywords/>
  <dc:description/>
  <cp:lastModifiedBy>Camara</cp:lastModifiedBy>
  <cp:revision>2</cp:revision>
  <cp:lastPrinted>2023-04-03T13:58:00Z</cp:lastPrinted>
  <dcterms:created xsi:type="dcterms:W3CDTF">2023-03-29T19:15:00Z</dcterms:created>
  <dcterms:modified xsi:type="dcterms:W3CDTF">2023-04-03T13:58:00Z</dcterms:modified>
</cp:coreProperties>
</file>