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ECE61" w14:textId="77777777" w:rsidR="00567D5F" w:rsidRDefault="00567D5F" w:rsidP="00567D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E5FDADD" w14:textId="77777777" w:rsidR="00C47756" w:rsidRDefault="00C47756" w:rsidP="00567D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E5C4A58" w14:textId="77777777" w:rsidR="00C47756" w:rsidRDefault="00C47756" w:rsidP="00567D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59CE7C2" w14:textId="77777777" w:rsidR="00C47756" w:rsidRDefault="00C47756" w:rsidP="00567D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4E69881" w14:textId="3BF719DE" w:rsidR="00567D5F" w:rsidRDefault="00567D5F" w:rsidP="00567D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1A83570" w14:textId="77777777" w:rsidR="00567D5F" w:rsidRDefault="00567D5F" w:rsidP="00567D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C40AB40" w14:textId="31701BC8" w:rsidR="00567D5F" w:rsidRPr="00E36BBD" w:rsidRDefault="00567D5F" w:rsidP="00567D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36BBD">
        <w:rPr>
          <w:rFonts w:ascii="Arial" w:hAnsi="Arial" w:cs="Arial"/>
          <w:b/>
          <w:bCs/>
          <w:sz w:val="24"/>
          <w:szCs w:val="24"/>
        </w:rPr>
        <w:t>PARECER JURÍDICO – nº 4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E36BBD">
        <w:rPr>
          <w:rFonts w:ascii="Arial" w:hAnsi="Arial" w:cs="Arial"/>
          <w:b/>
          <w:bCs/>
          <w:sz w:val="24"/>
          <w:szCs w:val="24"/>
        </w:rPr>
        <w:t>/2023</w:t>
      </w:r>
    </w:p>
    <w:p w14:paraId="07F6963D" w14:textId="77777777" w:rsidR="00567D5F" w:rsidRPr="00E36BBD" w:rsidRDefault="00567D5F" w:rsidP="00567D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36BBD">
        <w:rPr>
          <w:rFonts w:ascii="Arial" w:hAnsi="Arial" w:cs="Arial"/>
          <w:b/>
          <w:bCs/>
          <w:sz w:val="24"/>
          <w:szCs w:val="24"/>
        </w:rPr>
        <w:t xml:space="preserve">REFERENCIA: </w:t>
      </w:r>
      <w:r w:rsidRPr="00E36BBD">
        <w:rPr>
          <w:rFonts w:ascii="Arial" w:hAnsi="Arial" w:cs="Arial"/>
          <w:bCs/>
          <w:sz w:val="24"/>
          <w:szCs w:val="24"/>
        </w:rPr>
        <w:t>PROJETO DE LEI Nº 3</w:t>
      </w:r>
      <w:r>
        <w:rPr>
          <w:rFonts w:ascii="Arial" w:hAnsi="Arial" w:cs="Arial"/>
          <w:bCs/>
          <w:sz w:val="24"/>
          <w:szCs w:val="24"/>
        </w:rPr>
        <w:t>5</w:t>
      </w:r>
      <w:r w:rsidRPr="00E36BBD">
        <w:rPr>
          <w:rFonts w:ascii="Arial" w:hAnsi="Arial" w:cs="Arial"/>
          <w:bCs/>
          <w:sz w:val="24"/>
          <w:szCs w:val="24"/>
        </w:rPr>
        <w:t>/2023</w:t>
      </w:r>
    </w:p>
    <w:p w14:paraId="19EE4980" w14:textId="77777777" w:rsidR="00567D5F" w:rsidRPr="00E36BBD" w:rsidRDefault="00567D5F" w:rsidP="00567D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36BBD">
        <w:rPr>
          <w:rFonts w:ascii="Arial" w:hAnsi="Arial" w:cs="Arial"/>
          <w:b/>
          <w:bCs/>
          <w:sz w:val="24"/>
          <w:szCs w:val="24"/>
        </w:rPr>
        <w:t xml:space="preserve">AUTORIA: </w:t>
      </w:r>
      <w:r w:rsidRPr="00E36BBD">
        <w:rPr>
          <w:rFonts w:ascii="Arial" w:hAnsi="Arial" w:cs="Arial"/>
          <w:bCs/>
          <w:sz w:val="24"/>
          <w:szCs w:val="24"/>
        </w:rPr>
        <w:t>EXECUTIVO MUNICIPAL</w:t>
      </w:r>
    </w:p>
    <w:p w14:paraId="658674D6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 w:rsidRPr="00E36BBD">
        <w:rPr>
          <w:rFonts w:ascii="Arial" w:hAnsi="Arial" w:cs="Arial"/>
          <w:b/>
        </w:rPr>
        <w:t>EMENTA</w:t>
      </w:r>
      <w:r w:rsidRPr="00E36BBD">
        <w:rPr>
          <w:rFonts w:ascii="Arial" w:hAnsi="Arial" w:cs="Arial"/>
        </w:rPr>
        <w:t>: Dispõe sobre a cobrança de Contribuição de Melhoria na execução de obra pública que especifica.</w:t>
      </w:r>
    </w:p>
    <w:p w14:paraId="723D1E90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</w:p>
    <w:p w14:paraId="7A536B6C" w14:textId="0CEE2AB2" w:rsidR="00567D5F" w:rsidRPr="00E36BBD" w:rsidRDefault="00567D5F" w:rsidP="00567D5F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 w:rsidRPr="00E36BBD">
        <w:rPr>
          <w:rFonts w:ascii="Arial" w:hAnsi="Arial" w:cs="Arial"/>
        </w:rPr>
        <w:t xml:space="preserve">       </w:t>
      </w:r>
    </w:p>
    <w:p w14:paraId="335E0CBD" w14:textId="77777777" w:rsidR="00567D5F" w:rsidRPr="00E36BBD" w:rsidRDefault="00567D5F" w:rsidP="00567D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A1B84C1" w14:textId="77777777" w:rsidR="00567D5F" w:rsidRPr="00E36BBD" w:rsidRDefault="00567D5F" w:rsidP="00567D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CC0AEA3" w14:textId="77777777" w:rsidR="00567D5F" w:rsidRPr="00E36BBD" w:rsidRDefault="00567D5F" w:rsidP="00567D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6F88AD8" w14:textId="77777777" w:rsidR="00567D5F" w:rsidRDefault="00567D5F" w:rsidP="00567D5F">
      <w:pPr>
        <w:spacing w:after="0" w:line="240" w:lineRule="auto"/>
        <w:ind w:firstLine="2268"/>
        <w:jc w:val="both"/>
        <w:rPr>
          <w:rFonts w:ascii="Arial" w:hAnsi="Arial" w:cs="Arial"/>
          <w:b/>
          <w:sz w:val="24"/>
          <w:szCs w:val="24"/>
        </w:rPr>
      </w:pPr>
      <w:r w:rsidRPr="00E36BBD">
        <w:rPr>
          <w:rFonts w:ascii="Arial" w:hAnsi="Arial" w:cs="Arial"/>
          <w:b/>
          <w:sz w:val="24"/>
          <w:szCs w:val="24"/>
        </w:rPr>
        <w:t>RELATÓRIO:</w:t>
      </w:r>
    </w:p>
    <w:p w14:paraId="27E8B71F" w14:textId="77777777" w:rsidR="00C47756" w:rsidRDefault="00C47756" w:rsidP="00567D5F">
      <w:pPr>
        <w:spacing w:after="0" w:line="240" w:lineRule="auto"/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14:paraId="4B883F14" w14:textId="77777777" w:rsidR="00C47756" w:rsidRPr="00E36BBD" w:rsidRDefault="00C47756" w:rsidP="00567D5F">
      <w:pPr>
        <w:spacing w:after="0" w:line="240" w:lineRule="auto"/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14:paraId="57F33BF6" w14:textId="77777777" w:rsidR="00567D5F" w:rsidRPr="00E36BBD" w:rsidRDefault="00567D5F" w:rsidP="00567D5F">
      <w:pPr>
        <w:spacing w:after="0" w:line="240" w:lineRule="auto"/>
        <w:ind w:left="1200" w:hanging="1200"/>
        <w:jc w:val="both"/>
        <w:rPr>
          <w:rFonts w:ascii="Arial" w:hAnsi="Arial" w:cs="Arial"/>
          <w:b/>
          <w:sz w:val="24"/>
          <w:szCs w:val="24"/>
        </w:rPr>
      </w:pPr>
    </w:p>
    <w:p w14:paraId="29502EC0" w14:textId="71C494DF" w:rsidR="00567D5F" w:rsidRPr="00E36BBD" w:rsidRDefault="00567D5F" w:rsidP="00567D5F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E36BBD">
        <w:rPr>
          <w:rFonts w:ascii="Arial" w:hAnsi="Arial" w:cs="Arial"/>
        </w:rPr>
        <w:t xml:space="preserve">Foi encaminhado a esta Assessoria Jurídica, </w:t>
      </w:r>
      <w:proofErr w:type="gramStart"/>
      <w:r w:rsidRPr="00E36BBD">
        <w:rPr>
          <w:rFonts w:ascii="Arial" w:hAnsi="Arial" w:cs="Arial"/>
        </w:rPr>
        <w:t>para</w:t>
      </w:r>
      <w:proofErr w:type="gramEnd"/>
      <w:r w:rsidRPr="00E36BBD">
        <w:rPr>
          <w:rFonts w:ascii="Arial" w:hAnsi="Arial" w:cs="Arial"/>
        </w:rPr>
        <w:t xml:space="preserve"> </w:t>
      </w:r>
      <w:proofErr w:type="gramStart"/>
      <w:r w:rsidRPr="00E36BBD">
        <w:rPr>
          <w:rFonts w:ascii="Arial" w:hAnsi="Arial" w:cs="Arial"/>
        </w:rPr>
        <w:t>emissão</w:t>
      </w:r>
      <w:proofErr w:type="gramEnd"/>
      <w:r w:rsidRPr="00E36BBD">
        <w:rPr>
          <w:rFonts w:ascii="Arial" w:hAnsi="Arial" w:cs="Arial"/>
        </w:rPr>
        <w:t xml:space="preserve"> de parecer, o Projeto de Lei nº 3</w:t>
      </w:r>
      <w:r w:rsidR="007B1ABD">
        <w:rPr>
          <w:rFonts w:ascii="Arial" w:hAnsi="Arial" w:cs="Arial"/>
        </w:rPr>
        <w:t>5</w:t>
      </w:r>
      <w:r w:rsidRPr="00E36BBD">
        <w:rPr>
          <w:rFonts w:ascii="Arial" w:hAnsi="Arial" w:cs="Arial"/>
        </w:rPr>
        <w:t>/2023, de 23 de março de 2023, de autoria do Executivo Municipal, que tem por escopo dispor sobre a cobrança de Contribuição de Melhoria em decorrência da obra de pavimentação asfáltica sobre pedras irregulares na Rua Marechal Deodoro, entre as ruas Rio de Janeiro</w:t>
      </w:r>
      <w:r>
        <w:rPr>
          <w:rFonts w:ascii="Arial" w:hAnsi="Arial" w:cs="Arial"/>
        </w:rPr>
        <w:t xml:space="preserve"> e Santa Rosa</w:t>
      </w:r>
      <w:r w:rsidRPr="00E36BBD">
        <w:rPr>
          <w:rFonts w:ascii="Arial" w:hAnsi="Arial" w:cs="Arial"/>
        </w:rPr>
        <w:t>, nesta cidade.</w:t>
      </w:r>
    </w:p>
    <w:p w14:paraId="6BE379B5" w14:textId="77777777" w:rsidR="00567D5F" w:rsidRDefault="00567D5F" w:rsidP="00567D5F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041E4230" w14:textId="0D756655" w:rsidR="00567D5F" w:rsidRPr="00E36BBD" w:rsidRDefault="00567D5F" w:rsidP="00567D5F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E36BBD">
        <w:rPr>
          <w:rFonts w:ascii="Arial" w:hAnsi="Arial" w:cs="Arial"/>
        </w:rPr>
        <w:t>É o relatório.</w:t>
      </w:r>
    </w:p>
    <w:p w14:paraId="17DDD507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left="360" w:firstLine="1908"/>
        <w:jc w:val="both"/>
        <w:rPr>
          <w:rFonts w:ascii="Arial" w:hAnsi="Arial" w:cs="Arial"/>
        </w:rPr>
      </w:pPr>
    </w:p>
    <w:p w14:paraId="344219C0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left="360" w:firstLine="1908"/>
        <w:jc w:val="both"/>
        <w:rPr>
          <w:rFonts w:ascii="Arial" w:hAnsi="Arial" w:cs="Arial"/>
        </w:rPr>
      </w:pPr>
      <w:r w:rsidRPr="00E36BBD">
        <w:rPr>
          <w:rFonts w:ascii="Arial" w:hAnsi="Arial" w:cs="Arial"/>
        </w:rPr>
        <w:t>Passo a análise jurídica.</w:t>
      </w:r>
    </w:p>
    <w:p w14:paraId="66E2BB08" w14:textId="77777777" w:rsidR="00567D5F" w:rsidRPr="00E36BBD" w:rsidRDefault="00567D5F" w:rsidP="00567D5F">
      <w:pPr>
        <w:pStyle w:val="Commarcadores"/>
        <w:numPr>
          <w:ilvl w:val="0"/>
          <w:numId w:val="0"/>
        </w:numPr>
        <w:jc w:val="both"/>
        <w:rPr>
          <w:rFonts w:ascii="Arial" w:hAnsi="Arial" w:cs="Arial"/>
        </w:rPr>
      </w:pPr>
    </w:p>
    <w:p w14:paraId="232E0B68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left="360" w:firstLine="1908"/>
        <w:jc w:val="both"/>
        <w:rPr>
          <w:rFonts w:ascii="Arial" w:hAnsi="Arial" w:cs="Arial"/>
          <w:b/>
        </w:rPr>
      </w:pPr>
      <w:r w:rsidRPr="00E36BBD">
        <w:rPr>
          <w:rFonts w:ascii="Arial" w:hAnsi="Arial" w:cs="Arial"/>
          <w:b/>
        </w:rPr>
        <w:t>ANALISE JURÍDICA:</w:t>
      </w:r>
    </w:p>
    <w:p w14:paraId="38786508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left="360" w:firstLine="1908"/>
        <w:jc w:val="both"/>
        <w:rPr>
          <w:rFonts w:ascii="Arial" w:hAnsi="Arial" w:cs="Arial"/>
          <w:b/>
        </w:rPr>
      </w:pPr>
    </w:p>
    <w:p w14:paraId="7DC8ABFC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E36BBD">
        <w:rPr>
          <w:rFonts w:ascii="Arial" w:hAnsi="Arial" w:cs="Arial"/>
        </w:rPr>
        <w:t>De plano merecer destacar que a Contribuição de Melhoria, é o um tributo cuja competência tributária é comum a todos os entes da Federação (União, Estados, Distrito Federal e Municípios), conforme previsto no art. 145, inciso III, da Constituição Federal. Sua exigibilidade é admitida no caso de realização de obra pelo poder público que gere concreta (efetiva) valorização para os imóveis confrontantes ou a ela adjacentes.</w:t>
      </w:r>
    </w:p>
    <w:p w14:paraId="167AD8B6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left="360" w:firstLine="1908"/>
        <w:jc w:val="both"/>
        <w:rPr>
          <w:rFonts w:ascii="Arial" w:hAnsi="Arial" w:cs="Arial"/>
        </w:rPr>
      </w:pPr>
    </w:p>
    <w:p w14:paraId="01D882D5" w14:textId="77777777" w:rsidR="00567D5F" w:rsidRDefault="00567D5F" w:rsidP="00567D5F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E36BBD">
        <w:rPr>
          <w:rFonts w:ascii="Arial" w:hAnsi="Arial" w:cs="Arial"/>
          <w:sz w:val="24"/>
          <w:szCs w:val="24"/>
        </w:rPr>
        <w:t xml:space="preserve">A Contribuição de Melhoria é disciplinada no Decreto-lei nº 195/1967, no Código Tributário Nacional, especificamente nos </w:t>
      </w:r>
      <w:proofErr w:type="spellStart"/>
      <w:r w:rsidRPr="00E36BBD">
        <w:rPr>
          <w:rFonts w:ascii="Arial" w:hAnsi="Arial" w:cs="Arial"/>
          <w:sz w:val="24"/>
          <w:szCs w:val="24"/>
        </w:rPr>
        <w:t>arts</w:t>
      </w:r>
      <w:proofErr w:type="spellEnd"/>
      <w:r w:rsidRPr="00E36BBD">
        <w:rPr>
          <w:rFonts w:ascii="Arial" w:hAnsi="Arial" w:cs="Arial"/>
          <w:sz w:val="24"/>
          <w:szCs w:val="24"/>
        </w:rPr>
        <w:t xml:space="preserve">. 81 e 82 e em âmbito local, encontra guarida na Lei Municipal nº 2.624, de 28 de dezembro de 2014, que faz o regramento sobre a Contribuição de Melhoria no Município de Santo Cristo. Portanto, não se vislumbra óbices de natureza formal na presente proposição. </w:t>
      </w:r>
    </w:p>
    <w:p w14:paraId="44E8B968" w14:textId="77777777" w:rsidR="00C47756" w:rsidRDefault="00C47756" w:rsidP="00567D5F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2F1DAE23" w14:textId="77777777" w:rsidR="00C47756" w:rsidRDefault="00C47756" w:rsidP="00567D5F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20AE4903" w14:textId="77777777" w:rsidR="00C47756" w:rsidRDefault="00C47756" w:rsidP="00567D5F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5933B8D4" w14:textId="77777777" w:rsidR="00C47756" w:rsidRDefault="00C47756" w:rsidP="00567D5F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30467475" w14:textId="77777777" w:rsidR="00C47756" w:rsidRDefault="00C47756" w:rsidP="00567D5F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19EE855F" w14:textId="77777777" w:rsidR="00C47756" w:rsidRDefault="00C47756" w:rsidP="00567D5F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6E7F5152" w14:textId="77777777" w:rsidR="00C47756" w:rsidRDefault="00C47756" w:rsidP="00567D5F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255F9F64" w14:textId="77777777" w:rsidR="00C47756" w:rsidRPr="00E36BBD" w:rsidRDefault="00C47756" w:rsidP="00567D5F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6A1FC825" w14:textId="77777777" w:rsidR="00567D5F" w:rsidRPr="00E36BBD" w:rsidRDefault="00567D5F" w:rsidP="00567D5F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E36BBD">
        <w:rPr>
          <w:rFonts w:ascii="Arial" w:hAnsi="Arial" w:cs="Arial"/>
          <w:sz w:val="24"/>
          <w:szCs w:val="24"/>
        </w:rPr>
        <w:t xml:space="preserve">Feita a análise preliminar, cabe-nos adentrar no mérito da proposição, </w:t>
      </w:r>
      <w:proofErr w:type="gramStart"/>
      <w:r w:rsidRPr="00E36BBD">
        <w:rPr>
          <w:rFonts w:ascii="Arial" w:hAnsi="Arial" w:cs="Arial"/>
          <w:sz w:val="24"/>
          <w:szCs w:val="24"/>
        </w:rPr>
        <w:t>sob exame</w:t>
      </w:r>
      <w:proofErr w:type="gramEnd"/>
      <w:r w:rsidRPr="00E36BBD">
        <w:rPr>
          <w:rFonts w:ascii="Arial" w:hAnsi="Arial" w:cs="Arial"/>
          <w:sz w:val="24"/>
          <w:szCs w:val="24"/>
        </w:rPr>
        <w:t>.</w:t>
      </w:r>
    </w:p>
    <w:p w14:paraId="6F52042C" w14:textId="77777777" w:rsidR="00567D5F" w:rsidRDefault="00567D5F" w:rsidP="00567D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4E1812" w14:textId="7D16D0B7" w:rsidR="00567D5F" w:rsidRPr="00E36BBD" w:rsidRDefault="00567D5F" w:rsidP="00567D5F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E36BBD">
        <w:rPr>
          <w:rFonts w:ascii="Arial" w:hAnsi="Arial" w:cs="Arial"/>
          <w:sz w:val="24"/>
          <w:szCs w:val="24"/>
        </w:rPr>
        <w:t xml:space="preserve">É notório que a finalidade da Contribuição de Melhorias é ressarcir o Município dos valores despendidos (ou parcelas destes) para a realização da obra. Contudo, a hipótese de incidência ensejadora da obrigação tributária tem </w:t>
      </w:r>
      <w:r w:rsidRPr="00E36BBD">
        <w:rPr>
          <w:rFonts w:ascii="Arial" w:hAnsi="Arial" w:cs="Arial"/>
          <w:b/>
          <w:bCs/>
          <w:sz w:val="24"/>
          <w:szCs w:val="24"/>
        </w:rPr>
        <w:t>por fato gerador a valorização dos imóveis situados na zona beneficiada pela obra pública.</w:t>
      </w:r>
      <w:r w:rsidRPr="00E36BBD">
        <w:rPr>
          <w:rFonts w:ascii="Arial" w:hAnsi="Arial" w:cs="Arial"/>
          <w:sz w:val="24"/>
          <w:szCs w:val="24"/>
        </w:rPr>
        <w:t xml:space="preserve"> </w:t>
      </w:r>
    </w:p>
    <w:p w14:paraId="2EFE5936" w14:textId="77777777" w:rsidR="00567D5F" w:rsidRPr="00E36BBD" w:rsidRDefault="00567D5F" w:rsidP="00567D5F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E36BBD">
        <w:rPr>
          <w:rFonts w:ascii="Arial" w:hAnsi="Arial" w:cs="Arial"/>
          <w:sz w:val="24"/>
          <w:szCs w:val="24"/>
        </w:rPr>
        <w:t xml:space="preserve">  </w:t>
      </w:r>
    </w:p>
    <w:p w14:paraId="6EB12AF4" w14:textId="77777777" w:rsidR="00567D5F" w:rsidRPr="00E36BBD" w:rsidRDefault="00567D5F" w:rsidP="00567D5F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E36BBD">
        <w:rPr>
          <w:rFonts w:ascii="Arial" w:hAnsi="Arial" w:cs="Arial"/>
          <w:sz w:val="24"/>
          <w:szCs w:val="24"/>
        </w:rPr>
        <w:t xml:space="preserve">Ainda, nota-se que o texto projetado, especialmente, o art.1º, coaduna com o que dispõe no art. 4º, § 2º, do Decreto-lei nº 195, de 1967, ao referir que </w:t>
      </w:r>
      <w:r w:rsidRPr="00E36BBD">
        <w:rPr>
          <w:rFonts w:ascii="Arial" w:hAnsi="Arial" w:cs="Arial"/>
          <w:b/>
          <w:bCs/>
          <w:sz w:val="24"/>
          <w:szCs w:val="24"/>
        </w:rPr>
        <w:t xml:space="preserve">a percentagem do custo real da obra a ser cobrada mediante Contribuição de Melhoria será fixada tendo em vista a natureza da obra, os benefícios para os usuários, </w:t>
      </w:r>
      <w:proofErr w:type="gramStart"/>
      <w:r w:rsidRPr="00E36BBD">
        <w:rPr>
          <w:rFonts w:ascii="Arial" w:hAnsi="Arial" w:cs="Arial"/>
          <w:b/>
          <w:bCs/>
          <w:sz w:val="24"/>
          <w:szCs w:val="24"/>
        </w:rPr>
        <w:t>as</w:t>
      </w:r>
      <w:proofErr w:type="gramEnd"/>
      <w:r w:rsidRPr="00E36BBD">
        <w:rPr>
          <w:rFonts w:ascii="Arial" w:hAnsi="Arial" w:cs="Arial"/>
          <w:b/>
          <w:bCs/>
          <w:sz w:val="24"/>
          <w:szCs w:val="24"/>
        </w:rPr>
        <w:t xml:space="preserve"> atividades econômicas predominantes e o nível de desenvolvimento da região.</w:t>
      </w:r>
      <w:r w:rsidRPr="00E36BBD">
        <w:rPr>
          <w:rFonts w:ascii="Arial" w:hAnsi="Arial" w:cs="Arial"/>
          <w:sz w:val="24"/>
          <w:szCs w:val="24"/>
        </w:rPr>
        <w:t xml:space="preserve"> </w:t>
      </w:r>
    </w:p>
    <w:p w14:paraId="1DC9D7A4" w14:textId="77777777" w:rsidR="00567D5F" w:rsidRPr="00E36BBD" w:rsidRDefault="00567D5F" w:rsidP="00567D5F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636271F0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E36BBD">
        <w:rPr>
          <w:rFonts w:ascii="Arial" w:hAnsi="Arial" w:cs="Arial"/>
        </w:rPr>
        <w:t xml:space="preserve">Ademais, é oportuno lembrar, </w:t>
      </w:r>
      <w:r w:rsidRPr="00E36BBD">
        <w:rPr>
          <w:rFonts w:ascii="Arial" w:hAnsi="Arial" w:cs="Arial"/>
          <w:b/>
          <w:u w:val="single"/>
        </w:rPr>
        <w:t>para a instituição da Contribuição de Melhoria, que dependerá de lei específica para cada obra</w:t>
      </w:r>
      <w:r w:rsidRPr="00E36BBD">
        <w:rPr>
          <w:rFonts w:ascii="Arial" w:hAnsi="Arial" w:cs="Arial"/>
        </w:rPr>
        <w:t xml:space="preserve">, sendo insuficiente a existência de disposições gerais no Código Tributário Municipal, conforme entendimentos pacificados. Veja-se: </w:t>
      </w:r>
    </w:p>
    <w:p w14:paraId="52B9E957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413990B0" w14:textId="49D6624A" w:rsidR="00567D5F" w:rsidRPr="00E36BBD" w:rsidRDefault="00567D5F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18"/>
          <w:szCs w:val="18"/>
        </w:rPr>
      </w:pPr>
      <w:r w:rsidRPr="00E36BBD">
        <w:rPr>
          <w:rFonts w:ascii="Arial" w:hAnsi="Arial" w:cs="Arial"/>
          <w:sz w:val="20"/>
          <w:szCs w:val="20"/>
        </w:rPr>
        <w:t xml:space="preserve">PROCESSO CIVIL E TRIBUTÁRIO. EMBARGOS DE DECLARAÇÃO. RECURSO ESPECIAL. CONTRIBUIÇÃO DE MELHORIA. </w:t>
      </w:r>
      <w:r w:rsidRPr="00E36BBD">
        <w:rPr>
          <w:rFonts w:ascii="Arial" w:hAnsi="Arial" w:cs="Arial"/>
          <w:b/>
          <w:sz w:val="20"/>
          <w:szCs w:val="20"/>
        </w:rPr>
        <w:t>LEI ESPECÍFICA PARA CADA OBRA. NECESSIDADE</w:t>
      </w:r>
      <w:r w:rsidRPr="00E36BBD">
        <w:rPr>
          <w:rFonts w:ascii="Arial" w:hAnsi="Arial" w:cs="Arial"/>
          <w:sz w:val="20"/>
          <w:szCs w:val="20"/>
        </w:rPr>
        <w:t>.</w:t>
      </w:r>
      <w:r w:rsidRPr="00E36BBD">
        <w:rPr>
          <w:rFonts w:ascii="Arial" w:hAnsi="Arial" w:cs="Arial"/>
          <w:sz w:val="22"/>
        </w:rPr>
        <w:t xml:space="preserve"> I - O aresto embargado assentou o entendimento sobre a necessidade de lei específica para cada obra, presente o propósito da Municipalidade em instituir Contribuição de Melhoria. </w:t>
      </w:r>
      <w:r w:rsidRPr="00E36BBD">
        <w:rPr>
          <w:rFonts w:ascii="Arial" w:hAnsi="Arial" w:cs="Arial"/>
          <w:b/>
          <w:sz w:val="22"/>
        </w:rPr>
        <w:t xml:space="preserve">II - Nesse contexto, esclareceu que a cobrança de tributo por simples ato administrativo da autoridade competente fere, ademais, o princípio da anterioridade, ou </w:t>
      </w:r>
      <w:proofErr w:type="gramStart"/>
      <w:r w:rsidRPr="00E36BBD">
        <w:rPr>
          <w:rFonts w:ascii="Arial" w:hAnsi="Arial" w:cs="Arial"/>
          <w:b/>
          <w:sz w:val="22"/>
        </w:rPr>
        <w:t>não-surpresa</w:t>
      </w:r>
      <w:proofErr w:type="gramEnd"/>
      <w:r w:rsidRPr="00E36BBD">
        <w:rPr>
          <w:rFonts w:ascii="Arial" w:hAnsi="Arial" w:cs="Arial"/>
          <w:b/>
          <w:sz w:val="22"/>
        </w:rPr>
        <w:t xml:space="preserve"> para alguns, na medida em que impõe a potestade tributária sem permitir ao contribuinte organizar devidamente seu orçamento, nos moldes preconizados pela Constituição Federal (art. 150, III, "a")</w:t>
      </w:r>
      <w:r w:rsidRPr="00E36BBD">
        <w:rPr>
          <w:rFonts w:ascii="Arial" w:hAnsi="Arial" w:cs="Arial"/>
          <w:sz w:val="22"/>
        </w:rPr>
        <w:t xml:space="preserve">. III - Embargos de Declaração rejeitados. </w:t>
      </w:r>
      <w:r w:rsidRPr="00E36BBD">
        <w:rPr>
          <w:rFonts w:ascii="Arial" w:hAnsi="Arial" w:cs="Arial"/>
          <w:sz w:val="18"/>
          <w:szCs w:val="18"/>
        </w:rPr>
        <w:t>(</w:t>
      </w:r>
      <w:proofErr w:type="spellStart"/>
      <w:proofErr w:type="gramStart"/>
      <w:r w:rsidRPr="00E36BBD">
        <w:rPr>
          <w:rFonts w:ascii="Arial" w:hAnsi="Arial" w:cs="Arial"/>
          <w:sz w:val="18"/>
          <w:szCs w:val="18"/>
        </w:rPr>
        <w:t>EDcl</w:t>
      </w:r>
      <w:proofErr w:type="spellEnd"/>
      <w:proofErr w:type="gramEnd"/>
      <w:r w:rsidRPr="00E36BBD">
        <w:rPr>
          <w:rFonts w:ascii="Arial" w:hAnsi="Arial" w:cs="Arial"/>
          <w:sz w:val="18"/>
          <w:szCs w:val="18"/>
        </w:rPr>
        <w:t xml:space="preserve"> no </w:t>
      </w:r>
      <w:proofErr w:type="spellStart"/>
      <w:r w:rsidRPr="00E36BBD">
        <w:rPr>
          <w:rFonts w:ascii="Arial" w:hAnsi="Arial" w:cs="Arial"/>
          <w:sz w:val="18"/>
          <w:szCs w:val="18"/>
        </w:rPr>
        <w:t>REsp</w:t>
      </w:r>
      <w:proofErr w:type="spellEnd"/>
      <w:r w:rsidRPr="00E36BBD">
        <w:rPr>
          <w:rFonts w:ascii="Arial" w:hAnsi="Arial" w:cs="Arial"/>
          <w:sz w:val="18"/>
          <w:szCs w:val="18"/>
        </w:rPr>
        <w:t xml:space="preserve"> 739342/RS. Rel. Min. Francisco Falcão. Primeira Turma. J. 01/06/2006). (Grifou-se) </w:t>
      </w:r>
    </w:p>
    <w:p w14:paraId="587080DC" w14:textId="77777777" w:rsidR="00567D5F" w:rsidRDefault="00567D5F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</w:rPr>
      </w:pPr>
    </w:p>
    <w:p w14:paraId="607288AE" w14:textId="77777777" w:rsidR="00C47756" w:rsidRDefault="00C47756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</w:rPr>
      </w:pPr>
    </w:p>
    <w:p w14:paraId="24F274BF" w14:textId="77777777" w:rsidR="00C47756" w:rsidRDefault="00C47756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</w:rPr>
      </w:pPr>
    </w:p>
    <w:p w14:paraId="04758EB2" w14:textId="77777777" w:rsidR="00C47756" w:rsidRDefault="00C47756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</w:rPr>
      </w:pPr>
    </w:p>
    <w:p w14:paraId="2CEFE4D5" w14:textId="77777777" w:rsidR="00C47756" w:rsidRDefault="00C47756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</w:rPr>
      </w:pPr>
    </w:p>
    <w:p w14:paraId="0A2A92A1" w14:textId="77777777" w:rsidR="00C47756" w:rsidRDefault="00C47756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</w:rPr>
      </w:pPr>
    </w:p>
    <w:p w14:paraId="1E47D666" w14:textId="77777777" w:rsidR="00C47756" w:rsidRDefault="00C47756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</w:rPr>
      </w:pPr>
    </w:p>
    <w:p w14:paraId="44F8CB77" w14:textId="77777777" w:rsidR="00C47756" w:rsidRDefault="00C47756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</w:rPr>
      </w:pPr>
    </w:p>
    <w:p w14:paraId="17A267DA" w14:textId="77777777" w:rsidR="00C47756" w:rsidRDefault="00C47756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</w:rPr>
      </w:pPr>
    </w:p>
    <w:p w14:paraId="4C76E4F2" w14:textId="77777777" w:rsidR="00C47756" w:rsidRDefault="00C47756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</w:rPr>
      </w:pPr>
    </w:p>
    <w:p w14:paraId="0839EE16" w14:textId="77777777" w:rsidR="00C47756" w:rsidRDefault="00C47756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</w:rPr>
      </w:pPr>
    </w:p>
    <w:p w14:paraId="316F7120" w14:textId="77777777" w:rsidR="00C47756" w:rsidRDefault="00C47756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</w:rPr>
      </w:pPr>
    </w:p>
    <w:p w14:paraId="1B5395C5" w14:textId="77777777" w:rsidR="00C47756" w:rsidRDefault="00C47756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</w:rPr>
      </w:pPr>
    </w:p>
    <w:p w14:paraId="70A5626E" w14:textId="77777777" w:rsidR="00C47756" w:rsidRDefault="00C47756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</w:rPr>
      </w:pPr>
    </w:p>
    <w:p w14:paraId="13BE1B30" w14:textId="77777777" w:rsidR="00C47756" w:rsidRDefault="00C47756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</w:rPr>
      </w:pPr>
    </w:p>
    <w:p w14:paraId="7F25B269" w14:textId="77777777" w:rsidR="00C47756" w:rsidRDefault="00C47756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</w:rPr>
      </w:pPr>
    </w:p>
    <w:p w14:paraId="643A6C44" w14:textId="77777777" w:rsidR="00C47756" w:rsidRPr="00E36BBD" w:rsidRDefault="00C47756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</w:rPr>
      </w:pPr>
    </w:p>
    <w:p w14:paraId="6F0C585A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18"/>
          <w:szCs w:val="18"/>
        </w:rPr>
      </w:pPr>
      <w:r w:rsidRPr="00E36BBD">
        <w:rPr>
          <w:rFonts w:ascii="Arial" w:hAnsi="Arial" w:cs="Arial"/>
          <w:sz w:val="20"/>
          <w:szCs w:val="20"/>
        </w:rPr>
        <w:t xml:space="preserve">TRIBUTÁRIO. CONTRIBUIÇÃO DE MELHORIA. </w:t>
      </w:r>
      <w:r w:rsidRPr="00E36BBD">
        <w:rPr>
          <w:rFonts w:ascii="Arial" w:hAnsi="Arial" w:cs="Arial"/>
          <w:b/>
          <w:sz w:val="20"/>
          <w:szCs w:val="20"/>
        </w:rPr>
        <w:t>NECESSIDADE DE LEI ESPECÍFICA PARA CADA OBRA.</w:t>
      </w:r>
      <w:r w:rsidRPr="00E36BBD">
        <w:rPr>
          <w:rFonts w:ascii="Arial" w:hAnsi="Arial" w:cs="Arial"/>
          <w:sz w:val="20"/>
          <w:szCs w:val="20"/>
        </w:rPr>
        <w:t xml:space="preserve"> INSUFICIÊNCIA DO CÓDIGO TRIBUTÁRIO MUNICIPAL.</w:t>
      </w:r>
      <w:r w:rsidRPr="00E36BBD">
        <w:rPr>
          <w:rFonts w:ascii="Arial" w:hAnsi="Arial" w:cs="Arial"/>
          <w:sz w:val="22"/>
        </w:rPr>
        <w:t xml:space="preserve"> Em face do que resulta do artigo 82, CTN, afigura-se indispensável edição de lei específica para cada obra, com vistas à cobrança da contribuição de melhoria, </w:t>
      </w:r>
      <w:r w:rsidRPr="00E36BBD">
        <w:rPr>
          <w:rFonts w:ascii="Arial" w:hAnsi="Arial" w:cs="Arial"/>
          <w:b/>
          <w:sz w:val="22"/>
          <w:u w:val="single"/>
        </w:rPr>
        <w:t xml:space="preserve">sendo insuficientes previsões genéricas relativas ao </w:t>
      </w:r>
      <w:proofErr w:type="gramStart"/>
      <w:r w:rsidRPr="00E36BBD">
        <w:rPr>
          <w:rFonts w:ascii="Arial" w:hAnsi="Arial" w:cs="Arial"/>
          <w:b/>
          <w:sz w:val="22"/>
          <w:u w:val="single"/>
        </w:rPr>
        <w:t>tributo constantes do Código Tributário Municipal</w:t>
      </w:r>
      <w:proofErr w:type="gramEnd"/>
      <w:r w:rsidRPr="00E36BBD">
        <w:rPr>
          <w:rFonts w:ascii="Arial" w:hAnsi="Arial" w:cs="Arial"/>
          <w:b/>
          <w:sz w:val="22"/>
          <w:u w:val="single"/>
        </w:rPr>
        <w:t xml:space="preserve"> ou, ainda, como no caso, a mera expedição de edital administrativo.</w:t>
      </w:r>
      <w:r w:rsidRPr="00E36BBD">
        <w:rPr>
          <w:rFonts w:ascii="Arial" w:hAnsi="Arial" w:cs="Arial"/>
          <w:sz w:val="22"/>
        </w:rPr>
        <w:t xml:space="preserve"> [...] </w:t>
      </w:r>
      <w:r w:rsidRPr="00E36BBD">
        <w:rPr>
          <w:rFonts w:ascii="Arial" w:hAnsi="Arial" w:cs="Arial"/>
          <w:sz w:val="18"/>
          <w:szCs w:val="18"/>
        </w:rPr>
        <w:t>(Apelação Cível, Nº 70081931461, Vigésima Primeira Câmara Cível, Tribunal de Justiça do RS, Relator: Armínio José Abreu Lima da Rosa, Julgado em: 10-07-2019</w:t>
      </w:r>
      <w:proofErr w:type="gramStart"/>
      <w:r w:rsidRPr="00E36BBD">
        <w:rPr>
          <w:rFonts w:ascii="Arial" w:hAnsi="Arial" w:cs="Arial"/>
          <w:sz w:val="18"/>
          <w:szCs w:val="18"/>
        </w:rPr>
        <w:t>)</w:t>
      </w:r>
      <w:proofErr w:type="gramEnd"/>
      <w:r w:rsidRPr="00E36BBD">
        <w:rPr>
          <w:rFonts w:ascii="Arial" w:hAnsi="Arial" w:cs="Arial"/>
          <w:sz w:val="18"/>
          <w:szCs w:val="18"/>
        </w:rPr>
        <w:t xml:space="preserve"> </w:t>
      </w:r>
    </w:p>
    <w:p w14:paraId="47A66C22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568F1C82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E36BBD">
        <w:rPr>
          <w:rFonts w:ascii="Arial" w:hAnsi="Arial" w:cs="Arial"/>
        </w:rPr>
        <w:t xml:space="preserve">Nesse sentido, a lei específica deve conter os requisitos mínimos do art. 82 do CTN: </w:t>
      </w:r>
    </w:p>
    <w:p w14:paraId="4B457DFE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43FF6026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E36BBD">
        <w:rPr>
          <w:rFonts w:ascii="Arial" w:hAnsi="Arial" w:cs="Arial"/>
          <w:sz w:val="22"/>
          <w:szCs w:val="22"/>
        </w:rPr>
        <w:t>Art. 82. A lei relativa à contribuição de melhoria observará os seguintes requisitos mínimos:</w:t>
      </w:r>
    </w:p>
    <w:p w14:paraId="37187AB5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E36BBD">
        <w:rPr>
          <w:rFonts w:ascii="Arial" w:hAnsi="Arial" w:cs="Arial"/>
          <w:sz w:val="22"/>
          <w:szCs w:val="22"/>
        </w:rPr>
        <w:t xml:space="preserve">I - publicação prévia dos seguintes elementos: </w:t>
      </w:r>
    </w:p>
    <w:p w14:paraId="4128309E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E36BBD">
        <w:rPr>
          <w:rFonts w:ascii="Arial" w:hAnsi="Arial" w:cs="Arial"/>
          <w:sz w:val="22"/>
          <w:szCs w:val="22"/>
        </w:rPr>
        <w:t xml:space="preserve">a) memorial descritivo do projeto; </w:t>
      </w:r>
    </w:p>
    <w:p w14:paraId="65F4C58E" w14:textId="77777777" w:rsidR="00567D5F" w:rsidRDefault="00567D5F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</w:p>
    <w:p w14:paraId="46DD5C30" w14:textId="77777777" w:rsidR="00567D5F" w:rsidRDefault="00567D5F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</w:p>
    <w:p w14:paraId="3DDE0673" w14:textId="7A4BBEA3" w:rsidR="00567D5F" w:rsidRPr="00E36BBD" w:rsidRDefault="00567D5F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E36BBD">
        <w:rPr>
          <w:rFonts w:ascii="Arial" w:hAnsi="Arial" w:cs="Arial"/>
          <w:sz w:val="22"/>
          <w:szCs w:val="22"/>
        </w:rPr>
        <w:t xml:space="preserve">b) orçamento do custo da obra; </w:t>
      </w:r>
    </w:p>
    <w:p w14:paraId="09AA3695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E36BBD">
        <w:rPr>
          <w:rFonts w:ascii="Arial" w:hAnsi="Arial" w:cs="Arial"/>
          <w:sz w:val="22"/>
          <w:szCs w:val="22"/>
        </w:rPr>
        <w:t xml:space="preserve">c) determinação da parcela do custo da obra a ser financiada pela contribuição; </w:t>
      </w:r>
    </w:p>
    <w:p w14:paraId="61FCAC92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E36BBD">
        <w:rPr>
          <w:rFonts w:ascii="Arial" w:hAnsi="Arial" w:cs="Arial"/>
          <w:sz w:val="22"/>
          <w:szCs w:val="22"/>
        </w:rPr>
        <w:t xml:space="preserve">d) delimitação da zona beneficiada; </w:t>
      </w:r>
    </w:p>
    <w:p w14:paraId="357550F4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E36BBD">
        <w:rPr>
          <w:rFonts w:ascii="Arial" w:hAnsi="Arial" w:cs="Arial"/>
          <w:sz w:val="22"/>
          <w:szCs w:val="22"/>
        </w:rPr>
        <w:t>e) determinação do fator de absorção do benefício da valorização para toda a zona ou para cada uma das áreas diferenciadas, nela contidas;</w:t>
      </w:r>
    </w:p>
    <w:p w14:paraId="70AF7A67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E36BBD">
        <w:rPr>
          <w:rFonts w:ascii="Arial" w:hAnsi="Arial" w:cs="Arial"/>
          <w:sz w:val="22"/>
          <w:szCs w:val="22"/>
        </w:rPr>
        <w:t xml:space="preserve">II - fixação de prazo não inferior a 30 (trinta) dias, para impugnação pelos interessados, de qualquer dos elementos referidos no inciso anterior; </w:t>
      </w:r>
    </w:p>
    <w:p w14:paraId="16F7B27D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E36BBD">
        <w:rPr>
          <w:rFonts w:ascii="Arial" w:hAnsi="Arial" w:cs="Arial"/>
          <w:sz w:val="22"/>
          <w:szCs w:val="22"/>
        </w:rPr>
        <w:t xml:space="preserve">III - regulamentação do processo administrativo de instrução e julgamento da impugnação a que se refere o inciso anterior, sem prejuízo da sua apreciação judicial. </w:t>
      </w:r>
    </w:p>
    <w:p w14:paraId="37871CA2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E36BBD">
        <w:rPr>
          <w:rFonts w:ascii="Arial" w:hAnsi="Arial" w:cs="Arial"/>
          <w:sz w:val="22"/>
          <w:szCs w:val="22"/>
        </w:rPr>
        <w:t xml:space="preserve">§ 1º A contribuição relativa a cada imóvel será determinada pelo rateio da parcela do custo da obra a que se refere </w:t>
      </w:r>
      <w:proofErr w:type="gramStart"/>
      <w:r w:rsidRPr="00E36BBD">
        <w:rPr>
          <w:rFonts w:ascii="Arial" w:hAnsi="Arial" w:cs="Arial"/>
          <w:sz w:val="22"/>
          <w:szCs w:val="22"/>
        </w:rPr>
        <w:t>a</w:t>
      </w:r>
      <w:proofErr w:type="gramEnd"/>
      <w:r w:rsidRPr="00E36BBD">
        <w:rPr>
          <w:rFonts w:ascii="Arial" w:hAnsi="Arial" w:cs="Arial"/>
          <w:sz w:val="22"/>
          <w:szCs w:val="22"/>
        </w:rPr>
        <w:t xml:space="preserve"> alínea c, do inciso I, pelos imóveis situados na zona beneficiada em função dos respectivos fatores individuais de valorização. </w:t>
      </w:r>
    </w:p>
    <w:p w14:paraId="556247AB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</w:rPr>
      </w:pPr>
      <w:r w:rsidRPr="00E36BBD">
        <w:rPr>
          <w:rFonts w:ascii="Arial" w:hAnsi="Arial" w:cs="Arial"/>
          <w:sz w:val="22"/>
          <w:szCs w:val="22"/>
        </w:rPr>
        <w:t xml:space="preserve">§ 2º Por ocasião do respectivo lançamento, cada contribuinte deverá ser notificado do montante da contribuição, da forma e dos prazos de seu pagamento e dos elementos que integram o respectivo cálculo. </w:t>
      </w:r>
    </w:p>
    <w:p w14:paraId="36645CA3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4342BA2C" w14:textId="77777777" w:rsidR="00567D5F" w:rsidRDefault="00567D5F" w:rsidP="00567D5F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E36BBD">
        <w:rPr>
          <w:rFonts w:ascii="Arial" w:hAnsi="Arial" w:cs="Arial"/>
        </w:rPr>
        <w:t xml:space="preserve">Da mesma forma, </w:t>
      </w:r>
      <w:r w:rsidRPr="00E36BBD">
        <w:rPr>
          <w:rFonts w:ascii="Arial" w:hAnsi="Arial" w:cs="Arial"/>
          <w:b/>
        </w:rPr>
        <w:t xml:space="preserve">a lei específica instituindo o tributo deve ser publicada no ano anterior ao da cobrança da contribuição e com noventa dias de antecedência, por força dos princípios constitucionais da anterioridade e </w:t>
      </w:r>
      <w:proofErr w:type="spellStart"/>
      <w:r w:rsidRPr="00E36BBD">
        <w:rPr>
          <w:rFonts w:ascii="Arial" w:hAnsi="Arial" w:cs="Arial"/>
          <w:b/>
        </w:rPr>
        <w:t>noventena</w:t>
      </w:r>
      <w:proofErr w:type="spellEnd"/>
      <w:r w:rsidRPr="00E36BBD">
        <w:rPr>
          <w:rFonts w:ascii="Arial" w:hAnsi="Arial" w:cs="Arial"/>
        </w:rPr>
        <w:t xml:space="preserve"> (artigos 150, inciso III, “b” e “c”). </w:t>
      </w:r>
    </w:p>
    <w:p w14:paraId="30584BF0" w14:textId="77777777" w:rsidR="00C47756" w:rsidRDefault="00C47756" w:rsidP="00567D5F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46660ADB" w14:textId="77777777" w:rsidR="00C47756" w:rsidRDefault="00C47756" w:rsidP="00567D5F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53BB5723" w14:textId="77777777" w:rsidR="00C47756" w:rsidRDefault="00C47756" w:rsidP="00567D5F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550AC2EA" w14:textId="77777777" w:rsidR="00C47756" w:rsidRDefault="00C47756" w:rsidP="00567D5F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18E465C0" w14:textId="77777777" w:rsidR="00C47756" w:rsidRDefault="00C47756" w:rsidP="00567D5F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0D2028F5" w14:textId="77777777" w:rsidR="00C47756" w:rsidRPr="00E36BBD" w:rsidRDefault="00C47756" w:rsidP="00567D5F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71ED0578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38396E23" w14:textId="352689B6" w:rsidR="00567D5F" w:rsidRPr="00E36BBD" w:rsidRDefault="00567D5F" w:rsidP="00567D5F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E36BBD">
        <w:rPr>
          <w:rFonts w:ascii="Arial" w:hAnsi="Arial" w:cs="Arial"/>
        </w:rPr>
        <w:t xml:space="preserve">Registra-se acerca </w:t>
      </w:r>
      <w:r w:rsidRPr="00E36BBD">
        <w:rPr>
          <w:rFonts w:ascii="Arial" w:hAnsi="Arial" w:cs="Arial"/>
          <w:b/>
        </w:rPr>
        <w:t>da necessidade de dois editais, um anunciando a obra, atendendo ao art. 82, I, do CTN e art. 5º do Decreto-Lei 195/1967 e outro dando por concluída a obra</w:t>
      </w:r>
      <w:r w:rsidRPr="00E36BBD">
        <w:rPr>
          <w:rFonts w:ascii="Arial" w:hAnsi="Arial" w:cs="Arial"/>
        </w:rPr>
        <w:t xml:space="preserve"> em atendimento aos art. 9º do mesmo Decreto Lei, conforme entendimento jurisprudencial a seguir colacionado:</w:t>
      </w:r>
    </w:p>
    <w:p w14:paraId="4FBA5FB9" w14:textId="09944EEE" w:rsidR="00567D5F" w:rsidRDefault="00567D5F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</w:rPr>
      </w:pPr>
      <w:r w:rsidRPr="00E36BBD">
        <w:rPr>
          <w:rFonts w:ascii="Arial" w:hAnsi="Arial" w:cs="Arial"/>
          <w:sz w:val="20"/>
          <w:szCs w:val="20"/>
        </w:rPr>
        <w:t>APELAÇÃO CÍVEL. DIREITO TRIBUTÁRIO. AÇÃO ANULATÓRIA. REPETIÇÃO DE INDÉBITO. CONTRIBUIÇÃO DE MELHORIA. INOBSERVÂNCIA DOS REQUISITOS LEGAIS ATINENTES À ESPÉCIE. IMPOSSIBILIDADE DE PRESUNÇÃO DA VALORIZAÇÃO DO IMÓVEL.</w:t>
      </w:r>
      <w:r w:rsidRPr="00E36BBD">
        <w:rPr>
          <w:rFonts w:ascii="Arial" w:hAnsi="Arial" w:cs="Arial"/>
          <w:sz w:val="22"/>
        </w:rPr>
        <w:t xml:space="preserve"> Para a eficaz e válida instituição e cobrança de contribuição de melhoria deve o Poder Tributante, </w:t>
      </w:r>
      <w:r w:rsidRPr="00E36BBD">
        <w:rPr>
          <w:rFonts w:ascii="Arial" w:hAnsi="Arial" w:cs="Arial"/>
          <w:b/>
          <w:sz w:val="22"/>
          <w:u w:val="single"/>
        </w:rPr>
        <w:t xml:space="preserve">além de editar lei específica, obra por obra, fazer publicar </w:t>
      </w:r>
      <w:proofErr w:type="gramStart"/>
      <w:r w:rsidRPr="00E36BBD">
        <w:rPr>
          <w:rFonts w:ascii="Arial" w:hAnsi="Arial" w:cs="Arial"/>
          <w:b/>
          <w:sz w:val="22"/>
          <w:u w:val="single"/>
        </w:rPr>
        <w:t>2</w:t>
      </w:r>
      <w:proofErr w:type="gramEnd"/>
      <w:r w:rsidRPr="00E36BBD">
        <w:rPr>
          <w:rFonts w:ascii="Arial" w:hAnsi="Arial" w:cs="Arial"/>
          <w:b/>
          <w:sz w:val="22"/>
          <w:u w:val="single"/>
        </w:rPr>
        <w:t xml:space="preserve"> (dois) editais prévios segundo o DL nº 195/67: a) o previsto no art. 5º, anunciando a obra; e b) o previsto no art. 9º, dando por concluída a obra, de modo a justificar o início da cobrança da contribuição, mediante prévia notificação pessoal do seu lançamento ao contribuinte respectivo</w:t>
      </w:r>
      <w:r w:rsidRPr="00E36BBD">
        <w:rPr>
          <w:rFonts w:ascii="Arial" w:hAnsi="Arial" w:cs="Arial"/>
          <w:sz w:val="22"/>
        </w:rPr>
        <w:t>. No caso, houve a publicação de apenas um edital, após a conclusão da obra, contrariando, portanto, a exigência legal para a correta instituição da exação em espécie. A contribuição de melhoria é instituída para fazer face ao custo de obras públicas de que decorra valorização imobiliária, tendo como limite total a despesa realizada e como limite individual o acréscimo de valor que da obra resultar para cada imóvel beneficiado. É possível verificar que, no caso, a</w:t>
      </w:r>
      <w:proofErr w:type="gramStart"/>
      <w:r w:rsidRPr="00E36BB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proofErr w:type="gramEnd"/>
      <w:r w:rsidRPr="00E36BBD">
        <w:rPr>
          <w:rFonts w:ascii="Arial" w:hAnsi="Arial" w:cs="Arial"/>
          <w:sz w:val="22"/>
        </w:rPr>
        <w:t xml:space="preserve">cobrança </w:t>
      </w:r>
      <w:r>
        <w:rPr>
          <w:rFonts w:ascii="Arial" w:hAnsi="Arial" w:cs="Arial"/>
          <w:sz w:val="22"/>
        </w:rPr>
        <w:t xml:space="preserve"> </w:t>
      </w:r>
      <w:r w:rsidRPr="00E36BBD">
        <w:rPr>
          <w:rFonts w:ascii="Arial" w:hAnsi="Arial" w:cs="Arial"/>
          <w:sz w:val="22"/>
        </w:rPr>
        <w:t>não</w:t>
      </w:r>
      <w:r>
        <w:rPr>
          <w:rFonts w:ascii="Arial" w:hAnsi="Arial" w:cs="Arial"/>
          <w:sz w:val="22"/>
        </w:rPr>
        <w:t xml:space="preserve"> </w:t>
      </w:r>
      <w:r w:rsidRPr="00E36BBD">
        <w:rPr>
          <w:rFonts w:ascii="Arial" w:hAnsi="Arial" w:cs="Arial"/>
          <w:sz w:val="22"/>
        </w:rPr>
        <w:t xml:space="preserve"> atende</w:t>
      </w:r>
      <w:r>
        <w:rPr>
          <w:rFonts w:ascii="Arial" w:hAnsi="Arial" w:cs="Arial"/>
          <w:sz w:val="22"/>
        </w:rPr>
        <w:t xml:space="preserve">  </w:t>
      </w:r>
      <w:r w:rsidRPr="00E36BBD">
        <w:rPr>
          <w:rFonts w:ascii="Arial" w:hAnsi="Arial" w:cs="Arial"/>
          <w:sz w:val="22"/>
        </w:rPr>
        <w:t xml:space="preserve"> às</w:t>
      </w:r>
      <w:r>
        <w:rPr>
          <w:rFonts w:ascii="Arial" w:hAnsi="Arial" w:cs="Arial"/>
          <w:sz w:val="22"/>
        </w:rPr>
        <w:t xml:space="preserve">  </w:t>
      </w:r>
      <w:r w:rsidRPr="00E36BBD">
        <w:rPr>
          <w:rFonts w:ascii="Arial" w:hAnsi="Arial" w:cs="Arial"/>
          <w:sz w:val="22"/>
        </w:rPr>
        <w:t xml:space="preserve"> exigências </w:t>
      </w:r>
    </w:p>
    <w:p w14:paraId="5CB4DD8F" w14:textId="77777777" w:rsidR="00567D5F" w:rsidRDefault="00567D5F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</w:rPr>
      </w:pPr>
    </w:p>
    <w:p w14:paraId="0E430B2F" w14:textId="4085810E" w:rsidR="00567D5F" w:rsidRPr="00E36BBD" w:rsidRDefault="00567D5F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</w:rPr>
      </w:pPr>
      <w:proofErr w:type="gramStart"/>
      <w:r w:rsidRPr="00E36BBD">
        <w:rPr>
          <w:rFonts w:ascii="Arial" w:hAnsi="Arial" w:cs="Arial"/>
          <w:sz w:val="22"/>
        </w:rPr>
        <w:t>legais</w:t>
      </w:r>
      <w:proofErr w:type="gramEnd"/>
      <w:r w:rsidRPr="00E36BBD">
        <w:rPr>
          <w:rFonts w:ascii="Arial" w:hAnsi="Arial" w:cs="Arial"/>
          <w:sz w:val="22"/>
        </w:rPr>
        <w:t xml:space="preserve">, pois ausente prova acerca da efetiva valorização do imóvel a autorizar a instituição da contribuição de melhoria, APELAÇÃO DESPROVIDA. </w:t>
      </w:r>
      <w:r w:rsidRPr="00E36BBD">
        <w:rPr>
          <w:rFonts w:ascii="Arial" w:hAnsi="Arial" w:cs="Arial"/>
          <w:sz w:val="20"/>
          <w:szCs w:val="20"/>
        </w:rPr>
        <w:t>(Apelação Cível Nº 70081222580, Primeira Câmara Cível, Tribunal de Justiça do RS, Relator: Newton Luís Medeiros Fabrício, Julgado em 05/06/2019). (Grifou-se)</w:t>
      </w:r>
      <w:r w:rsidRPr="00E36BBD">
        <w:rPr>
          <w:rFonts w:ascii="Arial" w:hAnsi="Arial" w:cs="Arial"/>
          <w:sz w:val="22"/>
        </w:rPr>
        <w:t xml:space="preserve"> </w:t>
      </w:r>
    </w:p>
    <w:p w14:paraId="3D10D514" w14:textId="77777777" w:rsidR="00567D5F" w:rsidRPr="00E36BBD" w:rsidRDefault="00567D5F" w:rsidP="00567D5F">
      <w:pPr>
        <w:pStyle w:val="Commarcadores"/>
        <w:numPr>
          <w:ilvl w:val="0"/>
          <w:numId w:val="0"/>
        </w:numPr>
        <w:jc w:val="both"/>
        <w:rPr>
          <w:rFonts w:ascii="Arial" w:hAnsi="Arial" w:cs="Arial"/>
        </w:rPr>
      </w:pPr>
    </w:p>
    <w:p w14:paraId="49CB3349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E36BBD">
        <w:rPr>
          <w:rFonts w:ascii="Arial" w:hAnsi="Arial" w:cs="Arial"/>
        </w:rPr>
        <w:t xml:space="preserve">Resumidamente, tem-se que, o primeiro edital visa anunciar a obra, possibilitando aos futuros contribuintes o prazo de 30 dias para a impugnação de qualquer dos elementos dele constantes, (delimitação da área beneficiada e relação dos imóveis nela compreendidos, memorial descritivo do projeto, orçamento de seu custo e determinação da parcela do custo a ser ressarcido pela contribuição com o correspondente plano de rateio entre os imóveis atingidos) - artigo 82 do CTN e artigos 5º e 6º do Decreto-lei nº 195/67. </w:t>
      </w:r>
    </w:p>
    <w:p w14:paraId="137B5B41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7E687705" w14:textId="77777777" w:rsidR="00567D5F" w:rsidRDefault="00567D5F" w:rsidP="00567D5F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E36BBD">
        <w:rPr>
          <w:rFonts w:ascii="Arial" w:hAnsi="Arial" w:cs="Arial"/>
        </w:rPr>
        <w:t xml:space="preserve">O segundo edital é necessário publicar o demonstrativo de custos, dando por concluída a obra (artigo 9º do referido Decreto-lei), de modo a justificar o início da cobrança mediante prévia notificação do seu lançamento ao contribuinte. </w:t>
      </w:r>
    </w:p>
    <w:p w14:paraId="25CFE6F1" w14:textId="77777777" w:rsidR="00C47756" w:rsidRDefault="00C47756" w:rsidP="00567D5F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33DB7E46" w14:textId="77777777" w:rsidR="00C47756" w:rsidRDefault="00C47756" w:rsidP="00567D5F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06880B4A" w14:textId="77777777" w:rsidR="00C47756" w:rsidRDefault="00C47756" w:rsidP="00567D5F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2C25D0C7" w14:textId="77777777" w:rsidR="00C47756" w:rsidRDefault="00C47756" w:rsidP="00567D5F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41C7334A" w14:textId="77777777" w:rsidR="00C47756" w:rsidRPr="00E36BBD" w:rsidRDefault="00C47756" w:rsidP="00567D5F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21530D3D" w14:textId="19A4BF8E" w:rsidR="00567D5F" w:rsidRPr="00567D5F" w:rsidRDefault="00567D5F" w:rsidP="00567D5F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  <w:r w:rsidRPr="00E36BBD">
        <w:rPr>
          <w:rFonts w:ascii="Arial" w:hAnsi="Arial" w:cs="Arial"/>
          <w:b/>
        </w:rPr>
        <w:t>Para fins de aferição da valorização individual, a Administração deve realizar duas avaliações dos imóveis sendo uma antes da realização obra e outra depois da execução obra, o qual</w:t>
      </w:r>
      <w:proofErr w:type="gramStart"/>
      <w:r w:rsidRPr="00E36BBD">
        <w:rPr>
          <w:rFonts w:ascii="Arial" w:hAnsi="Arial" w:cs="Arial"/>
          <w:b/>
        </w:rPr>
        <w:t>, se dará</w:t>
      </w:r>
      <w:proofErr w:type="gramEnd"/>
      <w:r w:rsidRPr="00E36BBD">
        <w:rPr>
          <w:rFonts w:ascii="Arial" w:hAnsi="Arial" w:cs="Arial"/>
          <w:b/>
        </w:rPr>
        <w:t xml:space="preserve"> </w:t>
      </w:r>
      <w:proofErr w:type="gramStart"/>
      <w:r w:rsidRPr="00E36BBD">
        <w:rPr>
          <w:rFonts w:ascii="Arial" w:hAnsi="Arial" w:cs="Arial"/>
          <w:b/>
        </w:rPr>
        <w:t>mediante</w:t>
      </w:r>
      <w:proofErr w:type="gramEnd"/>
      <w:r w:rsidRPr="00E36BBD">
        <w:rPr>
          <w:rFonts w:ascii="Arial" w:hAnsi="Arial" w:cs="Arial"/>
          <w:b/>
        </w:rPr>
        <w:t xml:space="preserve"> a abertura de processo administrativo próprio, sendo relevante que as avaliações sejam procedidas por profissional técnico habilitado, ou por comissão em que pelo menos um dos membros possua essa habilitação. </w:t>
      </w:r>
    </w:p>
    <w:p w14:paraId="0A2FAB64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E36BBD">
        <w:rPr>
          <w:rFonts w:ascii="Arial" w:hAnsi="Arial" w:cs="Arial"/>
        </w:rPr>
        <w:t xml:space="preserve">Por fim, </w:t>
      </w:r>
      <w:r w:rsidRPr="00E36BBD">
        <w:rPr>
          <w:rFonts w:ascii="Arial" w:hAnsi="Arial" w:cs="Arial"/>
          <w:b/>
        </w:rPr>
        <w:t>o valor da contribuição não poderá exceder 3% (três por cento) do valor venal do imóvel a cada ano, atualizado à época da cobrança, sendo que, o valor que exceder, deverá ser cobrado no ano seguinte com as prestações devendo ser corrigidas monetariamente</w:t>
      </w:r>
      <w:r w:rsidRPr="00E36BBD">
        <w:rPr>
          <w:rFonts w:ascii="Arial" w:hAnsi="Arial" w:cs="Arial"/>
        </w:rPr>
        <w:t xml:space="preserve">. Ademais, a autorização para a Administração estabelecer descontos para o pagamento à vista, ou em prazos menores que o lançado, decorre do art. 12 do Decreto-lei nº 195/1967. </w:t>
      </w:r>
    </w:p>
    <w:p w14:paraId="61CEC0B7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53C41ED2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  <w:r w:rsidRPr="00E36BBD">
        <w:rPr>
          <w:rFonts w:ascii="Arial" w:hAnsi="Arial" w:cs="Arial"/>
        </w:rPr>
        <w:t xml:space="preserve">Portanto, a instituição e cobrança da contribuição de melhoria depende do </w:t>
      </w:r>
      <w:proofErr w:type="gramStart"/>
      <w:r w:rsidRPr="00E36BBD">
        <w:rPr>
          <w:rFonts w:ascii="Arial" w:hAnsi="Arial" w:cs="Arial"/>
        </w:rPr>
        <w:t>implemento</w:t>
      </w:r>
      <w:proofErr w:type="gramEnd"/>
      <w:r w:rsidRPr="00E36BBD">
        <w:rPr>
          <w:rFonts w:ascii="Arial" w:hAnsi="Arial" w:cs="Arial"/>
        </w:rPr>
        <w:t xml:space="preserve"> das seguintes condições, </w:t>
      </w:r>
      <w:r w:rsidRPr="00E36BBD">
        <w:rPr>
          <w:rFonts w:ascii="Arial" w:hAnsi="Arial" w:cs="Arial"/>
          <w:b/>
        </w:rPr>
        <w:t xml:space="preserve">cabendo a Câmara constatar se de fato todas as condições serão atendidas: </w:t>
      </w:r>
    </w:p>
    <w:p w14:paraId="25DF3F2C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00874F82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  <w:r w:rsidRPr="00E36BBD">
        <w:rPr>
          <w:rFonts w:ascii="Arial" w:hAnsi="Arial" w:cs="Arial"/>
          <w:sz w:val="22"/>
          <w:szCs w:val="22"/>
          <w:u w:val="single"/>
        </w:rPr>
        <w:t xml:space="preserve">1. Lei Específica para a cobrança de cada obra, contendo os requisitos do art. 82 do CTN, atendendo o princípio da </w:t>
      </w:r>
      <w:proofErr w:type="spellStart"/>
      <w:r w:rsidRPr="00E36BBD">
        <w:rPr>
          <w:rFonts w:ascii="Arial" w:hAnsi="Arial" w:cs="Arial"/>
          <w:sz w:val="22"/>
          <w:szCs w:val="22"/>
          <w:u w:val="single"/>
        </w:rPr>
        <w:t>noventena</w:t>
      </w:r>
      <w:proofErr w:type="spellEnd"/>
      <w:r w:rsidRPr="00E36BBD">
        <w:rPr>
          <w:rFonts w:ascii="Arial" w:hAnsi="Arial" w:cs="Arial"/>
          <w:sz w:val="22"/>
          <w:szCs w:val="22"/>
          <w:u w:val="single"/>
        </w:rPr>
        <w:t xml:space="preserve"> e anterioridade (vigência em 90 dias a contar de sua publicação, e aprovação da lei em um exercício e a cobrança em outro); </w:t>
      </w:r>
    </w:p>
    <w:p w14:paraId="6201DD81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</w:p>
    <w:p w14:paraId="7C9B8F4D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  <w:r w:rsidRPr="00E36BBD">
        <w:rPr>
          <w:rFonts w:ascii="Arial" w:hAnsi="Arial" w:cs="Arial"/>
          <w:sz w:val="22"/>
          <w:szCs w:val="22"/>
          <w:u w:val="single"/>
        </w:rPr>
        <w:t xml:space="preserve">2. Publicação do Edital nos termos do art. 82, inciso I, do CTN e art. 5º do Decreto-Lei nº 195/1967, anunciando a obra; </w:t>
      </w:r>
    </w:p>
    <w:p w14:paraId="76D588C9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</w:p>
    <w:p w14:paraId="78ED851F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  <w:r w:rsidRPr="00E36BBD">
        <w:rPr>
          <w:rFonts w:ascii="Arial" w:hAnsi="Arial" w:cs="Arial"/>
          <w:sz w:val="22"/>
          <w:szCs w:val="22"/>
          <w:u w:val="single"/>
        </w:rPr>
        <w:t xml:space="preserve">3. Avaliação dos imóveis localizados na zona de influência para aferição do valor atual dos imóveis; </w:t>
      </w:r>
    </w:p>
    <w:p w14:paraId="4B18EB13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</w:p>
    <w:p w14:paraId="15FF18A3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  <w:r w:rsidRPr="00E36BBD">
        <w:rPr>
          <w:rFonts w:ascii="Arial" w:hAnsi="Arial" w:cs="Arial"/>
          <w:sz w:val="22"/>
          <w:szCs w:val="22"/>
          <w:u w:val="single"/>
        </w:rPr>
        <w:t xml:space="preserve">4. Prazo de Impugnação ao Edital não inferior a 30 (trinta) dias; </w:t>
      </w:r>
    </w:p>
    <w:p w14:paraId="7660EBCB" w14:textId="77777777" w:rsidR="00567D5F" w:rsidRDefault="00567D5F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</w:p>
    <w:p w14:paraId="7F42CEFE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  <w:r w:rsidRPr="00E36BBD">
        <w:rPr>
          <w:rFonts w:ascii="Arial" w:hAnsi="Arial" w:cs="Arial"/>
          <w:sz w:val="22"/>
          <w:szCs w:val="22"/>
          <w:u w:val="single"/>
        </w:rPr>
        <w:t xml:space="preserve">5. Previsão na LDO (política tributária) e no orçamento; </w:t>
      </w:r>
    </w:p>
    <w:p w14:paraId="410BD70A" w14:textId="77777777" w:rsidR="00567D5F" w:rsidRDefault="00567D5F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</w:p>
    <w:p w14:paraId="45B0215D" w14:textId="77777777" w:rsidR="00567D5F" w:rsidRDefault="00567D5F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</w:p>
    <w:p w14:paraId="7E4582B4" w14:textId="60555BD0" w:rsidR="00567D5F" w:rsidRPr="00E36BBD" w:rsidRDefault="00567D5F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  <w:r w:rsidRPr="00E36BBD">
        <w:rPr>
          <w:rFonts w:ascii="Arial" w:hAnsi="Arial" w:cs="Arial"/>
          <w:sz w:val="22"/>
          <w:szCs w:val="22"/>
          <w:u w:val="single"/>
        </w:rPr>
        <w:t xml:space="preserve">6. Realização da obra; </w:t>
      </w:r>
    </w:p>
    <w:p w14:paraId="4BB43F0E" w14:textId="77777777" w:rsidR="00567D5F" w:rsidRDefault="00567D5F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</w:p>
    <w:p w14:paraId="5CE3EC1A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  <w:r w:rsidRPr="00E36BBD">
        <w:rPr>
          <w:rFonts w:ascii="Arial" w:hAnsi="Arial" w:cs="Arial"/>
          <w:sz w:val="22"/>
          <w:szCs w:val="22"/>
          <w:u w:val="single"/>
        </w:rPr>
        <w:t xml:space="preserve">7. Avaliação dos imóveis dos contribuintes para verificar o quantum da valorização imobiliária decorrente da realização da obra pública; </w:t>
      </w:r>
    </w:p>
    <w:p w14:paraId="2EE5907E" w14:textId="77777777" w:rsidR="00567D5F" w:rsidRDefault="00567D5F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</w:p>
    <w:p w14:paraId="37E4EC98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  <w:r w:rsidRPr="00E36BBD">
        <w:rPr>
          <w:rFonts w:ascii="Arial" w:hAnsi="Arial" w:cs="Arial"/>
          <w:sz w:val="22"/>
          <w:szCs w:val="22"/>
          <w:u w:val="single"/>
        </w:rPr>
        <w:t xml:space="preserve">8. Publicação do Edital dando por concluída a obra em atendimento aos art. 9º do mesmo Decreto Lei; </w:t>
      </w:r>
    </w:p>
    <w:p w14:paraId="64554D3F" w14:textId="77777777" w:rsidR="00567D5F" w:rsidRDefault="00567D5F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</w:p>
    <w:p w14:paraId="37815569" w14:textId="77777777" w:rsidR="00567D5F" w:rsidRDefault="00567D5F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  <w:r w:rsidRPr="00E36BBD">
        <w:rPr>
          <w:rFonts w:ascii="Arial" w:hAnsi="Arial" w:cs="Arial"/>
          <w:sz w:val="22"/>
          <w:szCs w:val="22"/>
          <w:u w:val="single"/>
        </w:rPr>
        <w:t xml:space="preserve">9. Lançamento pela autoridade competente; </w:t>
      </w:r>
    </w:p>
    <w:p w14:paraId="12078549" w14:textId="77777777" w:rsidR="00C47756" w:rsidRDefault="00C47756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</w:p>
    <w:p w14:paraId="45910E79" w14:textId="77777777" w:rsidR="00C47756" w:rsidRDefault="00C47756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</w:p>
    <w:p w14:paraId="68E50056" w14:textId="77777777" w:rsidR="00C47756" w:rsidRDefault="00C47756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</w:p>
    <w:p w14:paraId="344ACEEA" w14:textId="77777777" w:rsidR="00C47756" w:rsidRDefault="00C47756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</w:p>
    <w:p w14:paraId="34F0C186" w14:textId="77777777" w:rsidR="00C47756" w:rsidRDefault="00C47756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</w:p>
    <w:p w14:paraId="133CF558" w14:textId="77777777" w:rsidR="00C47756" w:rsidRDefault="00C47756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</w:p>
    <w:p w14:paraId="249CE545" w14:textId="77777777" w:rsidR="00C47756" w:rsidRPr="00E36BBD" w:rsidRDefault="00C47756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</w:p>
    <w:p w14:paraId="77B669B8" w14:textId="77777777" w:rsidR="00567D5F" w:rsidRDefault="00567D5F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</w:p>
    <w:p w14:paraId="2C02AA1C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left="2268"/>
        <w:jc w:val="both"/>
        <w:rPr>
          <w:rFonts w:ascii="Arial" w:hAnsi="Arial" w:cs="Arial"/>
          <w:sz w:val="22"/>
          <w:szCs w:val="22"/>
          <w:u w:val="single"/>
        </w:rPr>
      </w:pPr>
      <w:r w:rsidRPr="00E36BBD">
        <w:rPr>
          <w:rFonts w:ascii="Arial" w:hAnsi="Arial" w:cs="Arial"/>
          <w:sz w:val="22"/>
          <w:szCs w:val="22"/>
          <w:u w:val="single"/>
        </w:rPr>
        <w:t>10. Deve ser aberto Processo Administrativo Tributário para cobrança, e oportunizado prazo para contribuinte apresentar impugnação ao auto de lançamento;</w:t>
      </w:r>
    </w:p>
    <w:p w14:paraId="7D44CE28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53A5DA81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  <w:b/>
        </w:rPr>
      </w:pPr>
      <w:r w:rsidRPr="00E36BBD">
        <w:rPr>
          <w:rFonts w:ascii="Arial" w:hAnsi="Arial" w:cs="Arial"/>
          <w:b/>
        </w:rPr>
        <w:t>CONCLUSÃO:</w:t>
      </w:r>
    </w:p>
    <w:p w14:paraId="1CBC5803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00893A12" w14:textId="6F848632" w:rsidR="00567D5F" w:rsidRPr="00E36BBD" w:rsidRDefault="00567D5F" w:rsidP="00567D5F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E36BBD">
        <w:rPr>
          <w:rFonts w:ascii="Arial" w:hAnsi="Arial" w:cs="Arial"/>
        </w:rPr>
        <w:t xml:space="preserve">Diante do exposto, se conclui pertinente a iniciativa sob o aspecto formal. No mérito, possível a instituição do tributo em âmbito local, entretanto, a viabilidade do Projeto de Lei nº </w:t>
      </w:r>
      <w:r>
        <w:rPr>
          <w:rFonts w:ascii="Arial" w:hAnsi="Arial" w:cs="Arial"/>
        </w:rPr>
        <w:t>3</w:t>
      </w:r>
      <w:r w:rsidR="00AC2665">
        <w:rPr>
          <w:rFonts w:ascii="Arial" w:hAnsi="Arial" w:cs="Arial"/>
        </w:rPr>
        <w:t>5</w:t>
      </w:r>
      <w:r w:rsidRPr="00E36BBD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  <w:r w:rsidRPr="00E36BBD">
        <w:rPr>
          <w:rFonts w:ascii="Arial" w:hAnsi="Arial" w:cs="Arial"/>
        </w:rPr>
        <w:t>, de iniciativa do Poder Executivo, está condicionada ao atendimento das disposições no Código Tributário Nacional (</w:t>
      </w:r>
      <w:proofErr w:type="spellStart"/>
      <w:r w:rsidRPr="00E36BBD">
        <w:rPr>
          <w:rFonts w:ascii="Arial" w:hAnsi="Arial" w:cs="Arial"/>
        </w:rPr>
        <w:t>arts</w:t>
      </w:r>
      <w:proofErr w:type="spellEnd"/>
      <w:r w:rsidRPr="00E36BBD">
        <w:rPr>
          <w:rFonts w:ascii="Arial" w:hAnsi="Arial" w:cs="Arial"/>
        </w:rPr>
        <w:t>. 81 e 82), no Decreto-Lei nº 195, de 1967 e na Lei Municipal nº 2.624, de 28 de dezembro de 2001, acima mencionados.</w:t>
      </w:r>
    </w:p>
    <w:p w14:paraId="2B8562E3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372F6799" w14:textId="77777777" w:rsidR="00567D5F" w:rsidRDefault="00567D5F" w:rsidP="00567D5F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  <w:b/>
        </w:rPr>
      </w:pPr>
    </w:p>
    <w:p w14:paraId="321459AA" w14:textId="77777777" w:rsidR="00C47756" w:rsidRPr="00E36BBD" w:rsidRDefault="00C47756" w:rsidP="00567D5F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  <w:b/>
        </w:rPr>
      </w:pPr>
    </w:p>
    <w:p w14:paraId="30A6225A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E36BBD">
        <w:rPr>
          <w:rFonts w:ascii="Arial" w:hAnsi="Arial" w:cs="Arial"/>
        </w:rPr>
        <w:t>Nestes termos, é o PARECER.</w:t>
      </w:r>
    </w:p>
    <w:p w14:paraId="708096AE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E36BBD">
        <w:rPr>
          <w:rFonts w:ascii="Arial" w:hAnsi="Arial" w:cs="Arial"/>
        </w:rPr>
        <w:t xml:space="preserve">Santo Cristo, </w:t>
      </w:r>
      <w:r>
        <w:rPr>
          <w:rFonts w:ascii="Arial" w:hAnsi="Arial" w:cs="Arial"/>
        </w:rPr>
        <w:t xml:space="preserve">03 de abril </w:t>
      </w:r>
      <w:r w:rsidRPr="00E36BBD">
        <w:rPr>
          <w:rFonts w:ascii="Arial" w:hAnsi="Arial" w:cs="Arial"/>
        </w:rPr>
        <w:t>de 202</w:t>
      </w:r>
      <w:r>
        <w:rPr>
          <w:rFonts w:ascii="Arial" w:hAnsi="Arial" w:cs="Arial"/>
        </w:rPr>
        <w:t>3</w:t>
      </w:r>
      <w:r w:rsidRPr="00E36BBD">
        <w:rPr>
          <w:rFonts w:ascii="Arial" w:hAnsi="Arial" w:cs="Arial"/>
        </w:rPr>
        <w:t>.</w:t>
      </w:r>
    </w:p>
    <w:p w14:paraId="10219610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</w:p>
    <w:p w14:paraId="7386993C" w14:textId="77777777" w:rsidR="00567D5F" w:rsidRDefault="00567D5F" w:rsidP="00567D5F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 w:rsidRPr="00E36BBD">
        <w:rPr>
          <w:rFonts w:ascii="Arial" w:hAnsi="Arial" w:cs="Arial"/>
        </w:rPr>
        <w:tab/>
      </w:r>
      <w:r w:rsidRPr="00E36BBD">
        <w:rPr>
          <w:rFonts w:ascii="Arial" w:hAnsi="Arial" w:cs="Arial"/>
        </w:rPr>
        <w:tab/>
      </w:r>
      <w:r w:rsidRPr="00E36BBD">
        <w:rPr>
          <w:rFonts w:ascii="Arial" w:hAnsi="Arial" w:cs="Arial"/>
        </w:rPr>
        <w:tab/>
      </w:r>
    </w:p>
    <w:p w14:paraId="51C0A12E" w14:textId="77777777" w:rsidR="00C47756" w:rsidRDefault="00C47756" w:rsidP="00567D5F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</w:p>
    <w:p w14:paraId="65F4340E" w14:textId="77777777" w:rsidR="00C47756" w:rsidRPr="00E36BBD" w:rsidRDefault="00C47756" w:rsidP="00567D5F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bookmarkStart w:id="0" w:name="_GoBack"/>
      <w:bookmarkEnd w:id="0"/>
    </w:p>
    <w:p w14:paraId="0DB18032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  <w:lang w:val="en-US"/>
        </w:rPr>
      </w:pPr>
      <w:r w:rsidRPr="00E36BBD">
        <w:rPr>
          <w:rFonts w:ascii="Arial" w:hAnsi="Arial" w:cs="Arial"/>
        </w:rPr>
        <w:tab/>
      </w:r>
      <w:r w:rsidRPr="00E36BBD">
        <w:rPr>
          <w:rFonts w:ascii="Arial" w:hAnsi="Arial" w:cs="Arial"/>
        </w:rPr>
        <w:tab/>
      </w:r>
      <w:r w:rsidRPr="00E36BBD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  </w:t>
      </w:r>
      <w:proofErr w:type="spellStart"/>
      <w:r w:rsidRPr="00E36BBD">
        <w:rPr>
          <w:rFonts w:ascii="Arial" w:hAnsi="Arial" w:cs="Arial"/>
          <w:lang w:val="en-US"/>
        </w:rPr>
        <w:t>Liane</w:t>
      </w:r>
      <w:proofErr w:type="spellEnd"/>
      <w:r w:rsidRPr="00E36BBD">
        <w:rPr>
          <w:rFonts w:ascii="Arial" w:hAnsi="Arial" w:cs="Arial"/>
          <w:lang w:val="en-US"/>
        </w:rPr>
        <w:t xml:space="preserve"> </w:t>
      </w:r>
      <w:proofErr w:type="spellStart"/>
      <w:r w:rsidRPr="00E36BBD">
        <w:rPr>
          <w:rFonts w:ascii="Arial" w:hAnsi="Arial" w:cs="Arial"/>
          <w:lang w:val="en-US"/>
        </w:rPr>
        <w:t>Gorete</w:t>
      </w:r>
      <w:proofErr w:type="spellEnd"/>
      <w:r w:rsidRPr="00E36BBD">
        <w:rPr>
          <w:rFonts w:ascii="Arial" w:hAnsi="Arial" w:cs="Arial"/>
          <w:lang w:val="en-US"/>
        </w:rPr>
        <w:t xml:space="preserve"> </w:t>
      </w:r>
      <w:proofErr w:type="spellStart"/>
      <w:r w:rsidRPr="00E36BBD">
        <w:rPr>
          <w:rFonts w:ascii="Arial" w:hAnsi="Arial" w:cs="Arial"/>
          <w:lang w:val="en-US"/>
        </w:rPr>
        <w:t>Munchen</w:t>
      </w:r>
      <w:proofErr w:type="spellEnd"/>
      <w:r w:rsidRPr="00E36BBD">
        <w:rPr>
          <w:rFonts w:ascii="Arial" w:hAnsi="Arial" w:cs="Arial"/>
          <w:lang w:val="en-US"/>
        </w:rPr>
        <w:t xml:space="preserve"> – OAB/RS 59.764</w:t>
      </w:r>
    </w:p>
    <w:p w14:paraId="6D8FB921" w14:textId="77777777" w:rsidR="00567D5F" w:rsidRPr="00E36BBD" w:rsidRDefault="00567D5F" w:rsidP="00567D5F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 w:rsidRPr="00E36BBD">
        <w:rPr>
          <w:rFonts w:ascii="Arial" w:hAnsi="Arial" w:cs="Arial"/>
          <w:lang w:val="en-US"/>
        </w:rPr>
        <w:t xml:space="preserve">                                </w:t>
      </w:r>
      <w:r>
        <w:rPr>
          <w:rFonts w:ascii="Arial" w:hAnsi="Arial" w:cs="Arial"/>
          <w:lang w:val="en-US"/>
        </w:rPr>
        <w:t xml:space="preserve">  </w:t>
      </w:r>
      <w:r w:rsidRPr="00E36BBD">
        <w:rPr>
          <w:rFonts w:ascii="Arial" w:hAnsi="Arial" w:cs="Arial"/>
          <w:lang w:val="en-US"/>
        </w:rPr>
        <w:t xml:space="preserve">         </w:t>
      </w:r>
      <w:r w:rsidRPr="00E36BBD">
        <w:rPr>
          <w:rFonts w:ascii="Arial" w:hAnsi="Arial" w:cs="Arial"/>
        </w:rPr>
        <w:t>ASSESSORA JURÍDICA</w:t>
      </w:r>
    </w:p>
    <w:p w14:paraId="3DBE2551" w14:textId="77777777" w:rsidR="00567D5F" w:rsidRPr="00E36BBD" w:rsidRDefault="00567D5F" w:rsidP="00567D5F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70EF4EE" w14:textId="77777777" w:rsidR="00567D5F" w:rsidRDefault="00567D5F"/>
    <w:sectPr w:rsidR="00567D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DCF56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D5F"/>
    <w:rsid w:val="00567D5F"/>
    <w:rsid w:val="007B1ABD"/>
    <w:rsid w:val="00AC2665"/>
    <w:rsid w:val="00C4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D0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D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567D5F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D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567D5F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1119B-E8A8-44D8-9882-CD3790F83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1702</Words>
  <Characters>9192</Characters>
  <Application>Microsoft Office Word</Application>
  <DocSecurity>0</DocSecurity>
  <Lines>76</Lines>
  <Paragraphs>21</Paragraphs>
  <ScaleCrop>false</ScaleCrop>
  <Company/>
  <LinksUpToDate>false</LinksUpToDate>
  <CharactersWithSpaces>10873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</dc:creator>
  <cp:keywords/>
  <dc:description/>
  <cp:lastModifiedBy>Camara</cp:lastModifiedBy>
  <cp:revision>4</cp:revision>
  <dcterms:created xsi:type="dcterms:W3CDTF">2023-03-30T12:56:00Z</dcterms:created>
  <dcterms:modified xsi:type="dcterms:W3CDTF">2023-04-03T14:04:00Z</dcterms:modified>
</cp:coreProperties>
</file>