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92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556142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5561427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2019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2019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2.452.688,65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2.386.880,76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214.043,72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214.043,72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48.151,96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2.452.199,38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2.386.391,49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237.195,68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195.543,72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195.543,72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41.651,96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2.833,71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1.125.871,99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1.106.362,91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22.323,79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83.456,65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72.797,27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72.797,27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10.659,38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22.323,79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708,83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700.934,00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655.100,24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84.268,07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78.145,65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78.145,65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6.122,42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551.088,74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550.634,14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62.253,66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38.847,40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38.847,40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23.406,26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74.304,65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74.294,20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7.217,30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5.753,40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5.753,40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2.452.688,65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2.386.880,76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214.043,72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214.043,72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48.151,96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09:18:15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38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