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40"/>
        <w:gridCol w:w="20"/>
        <w:gridCol w:w="600"/>
        <w:gridCol w:w="1160"/>
        <w:gridCol w:w="220"/>
        <w:gridCol w:w="2220"/>
        <w:gridCol w:w="600"/>
        <w:gridCol w:w="3600"/>
        <w:gridCol w:w="440"/>
        <w:gridCol w:w="1820"/>
        <w:gridCol w:w="9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942545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9425454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DE ALIENAÇÃO DE ATIVOS E APLICAÇÃO DOS RECURSOS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2020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11 (LRF, art 53, inciso III)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ALIENAÇÃO DE ATIVOS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FINANCEIRO A APLICAR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2019</w:t>
                    <w:br/>
                    <w:t xml:space="preserve"> (i)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2020</w:t>
                    <w:br/>
                    <w:t xml:space="preserve"> (j) = (Ib – (IIf+ IIg))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 ATUAL</w:t>
                    <w:br/>
                    <w:t xml:space="preserve">(k ) = (IIIi  + IIIj)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 (III)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09:30:52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