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403" w:val="left" w:leader="none"/>
        </w:tabs>
        <w:spacing w:line="240" w:lineRule="auto"/>
        <w:ind w:left="48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4083" cy="3886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8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8.75pt;height:33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75"/>
                  </w:tblGrid>
                  <w:tr>
                    <w:trPr>
                      <w:trHeight w:val="130" w:hRule="atLeast"/>
                    </w:trPr>
                    <w:tc>
                      <w:tcPr>
                        <w:tcW w:w="5375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9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CHUVISCA - CONSOLIDADO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5375" w:type="dxa"/>
                      </w:tcPr>
                      <w:p>
                        <w:pPr>
                          <w:pStyle w:val="TableParagraph"/>
                          <w:spacing w:line="111" w:lineRule="exact" w:before="3"/>
                          <w:ind w:left="9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RELATÓRIO RESUMIDO DA EXECUÇÃO ORÇAMENTÁRIA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5375" w:type="dxa"/>
                      </w:tcPr>
                      <w:p>
                        <w:pPr>
                          <w:pStyle w:val="TableParagraph"/>
                          <w:spacing w:line="111" w:lineRule="exact" w:before="3"/>
                          <w:ind w:left="9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DEMONSTRATIVO</w:t>
                        </w:r>
                        <w:r>
                          <w:rPr>
                            <w:b/>
                            <w:spacing w:val="-1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SIMPLIFICADO</w:t>
                        </w:r>
                        <w:r>
                          <w:rPr>
                            <w:b/>
                            <w:spacing w:val="-1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DO</w:t>
                        </w:r>
                        <w:r>
                          <w:rPr>
                            <w:b/>
                            <w:spacing w:val="-1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RELATÓRIO</w:t>
                        </w:r>
                        <w:r>
                          <w:rPr>
                            <w:b/>
                            <w:spacing w:val="-1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RESUMIDO</w:t>
                        </w:r>
                        <w:r>
                          <w:rPr>
                            <w:b/>
                            <w:spacing w:val="-1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DA</w:t>
                        </w:r>
                        <w:r>
                          <w:rPr>
                            <w:b/>
                            <w:spacing w:val="-1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EXECUÇÃO</w:t>
                        </w:r>
                        <w:r>
                          <w:rPr>
                            <w:b/>
                            <w:spacing w:val="-1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ORÇAMENTÁRIA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5375" w:type="dxa"/>
                      </w:tcPr>
                      <w:p>
                        <w:pPr>
                          <w:pStyle w:val="TableParagraph"/>
                          <w:spacing w:line="111" w:lineRule="exact" w:before="3"/>
                          <w:ind w:left="9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ORÇAMENTO FISCAL E DA SEGURIDADE SOCIAL</w:t>
                        </w:r>
                      </w:p>
                    </w:tc>
                  </w:tr>
                  <w:tr>
                    <w:trPr>
                      <w:trHeight w:val="130" w:hRule="atLeast"/>
                    </w:trPr>
                    <w:tc>
                      <w:tcPr>
                        <w:tcW w:w="5375" w:type="dxa"/>
                      </w:tcPr>
                      <w:p>
                        <w:pPr>
                          <w:pStyle w:val="TableParagraph"/>
                          <w:spacing w:line="107" w:lineRule="exact" w:before="3"/>
                          <w:ind w:left="9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1"/>
          <w:sz w:val="20"/>
        </w:rPr>
      </w:r>
    </w:p>
    <w:p>
      <w:pPr>
        <w:pStyle w:val="BodyText"/>
        <w:rPr>
          <w:rFonts w:ascii="Times New Roman"/>
          <w:sz w:val="17"/>
        </w:rPr>
      </w:pPr>
    </w:p>
    <w:p>
      <w:pPr>
        <w:tabs>
          <w:tab w:pos="10387" w:val="left" w:leader="none"/>
        </w:tabs>
        <w:spacing w:before="94"/>
        <w:ind w:left="212" w:right="0" w:firstLine="0"/>
        <w:jc w:val="left"/>
        <w:rPr>
          <w:sz w:val="10"/>
        </w:rPr>
      </w:pPr>
      <w:r>
        <w:rPr>
          <w:sz w:val="10"/>
        </w:rPr>
        <w:t>RREO</w:t>
      </w:r>
      <w:r>
        <w:rPr>
          <w:spacing w:val="-6"/>
          <w:sz w:val="10"/>
        </w:rPr>
        <w:t> </w:t>
      </w:r>
      <w:r>
        <w:rPr>
          <w:sz w:val="10"/>
        </w:rPr>
        <w:t>-</w:t>
      </w:r>
      <w:r>
        <w:rPr>
          <w:spacing w:val="-5"/>
          <w:sz w:val="10"/>
        </w:rPr>
        <w:t> </w:t>
      </w:r>
      <w:r>
        <w:rPr>
          <w:sz w:val="10"/>
        </w:rPr>
        <w:t>Anexo</w:t>
      </w:r>
      <w:r>
        <w:rPr>
          <w:spacing w:val="-6"/>
          <w:sz w:val="10"/>
        </w:rPr>
        <w:t> </w:t>
      </w:r>
      <w:r>
        <w:rPr>
          <w:sz w:val="10"/>
        </w:rPr>
        <w:t>XIV</w:t>
      </w:r>
      <w:r>
        <w:rPr>
          <w:spacing w:val="-6"/>
          <w:sz w:val="10"/>
        </w:rPr>
        <w:t> </w:t>
      </w:r>
      <w:r>
        <w:rPr>
          <w:sz w:val="10"/>
        </w:rPr>
        <w:t>(LRF,</w:t>
      </w:r>
      <w:r>
        <w:rPr>
          <w:spacing w:val="-7"/>
          <w:sz w:val="10"/>
        </w:rPr>
        <w:t> </w:t>
      </w:r>
      <w:r>
        <w:rPr>
          <w:sz w:val="10"/>
        </w:rPr>
        <w:t>Art</w:t>
      </w:r>
      <w:r>
        <w:rPr>
          <w:spacing w:val="-6"/>
          <w:sz w:val="10"/>
        </w:rPr>
        <w:t> </w:t>
      </w:r>
      <w:r>
        <w:rPr>
          <w:sz w:val="10"/>
        </w:rPr>
        <w:t>.</w:t>
      </w:r>
      <w:r>
        <w:rPr>
          <w:spacing w:val="-7"/>
          <w:sz w:val="10"/>
        </w:rPr>
        <w:t> </w:t>
      </w:r>
      <w:r>
        <w:rPr>
          <w:sz w:val="10"/>
        </w:rPr>
        <w:t>48)</w:t>
        <w:tab/>
      </w:r>
      <w:r>
        <w:rPr>
          <w:position w:val="2"/>
          <w:sz w:val="10"/>
        </w:rPr>
        <w:t>R$</w:t>
      </w:r>
      <w:r>
        <w:rPr>
          <w:spacing w:val="-8"/>
          <w:position w:val="2"/>
          <w:sz w:val="10"/>
        </w:rPr>
        <w:t> </w:t>
      </w:r>
      <w:r>
        <w:rPr>
          <w:position w:val="2"/>
          <w:sz w:val="10"/>
        </w:rPr>
        <w:t>1,00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3"/>
        <w:gridCol w:w="5272"/>
      </w:tblGrid>
      <w:tr>
        <w:trPr>
          <w:trHeight w:val="400" w:hRule="atLeast"/>
        </w:trPr>
        <w:tc>
          <w:tcPr>
            <w:tcW w:w="5293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755" w:right="1751"/>
              <w:jc w:val="center"/>
              <w:rPr>
                <w:sz w:val="10"/>
              </w:rPr>
            </w:pPr>
            <w:r>
              <w:rPr>
                <w:sz w:val="10"/>
              </w:rPr>
              <w:t>BALANÇO ORÇAMENTÁRIO</w:t>
            </w:r>
          </w:p>
        </w:tc>
        <w:tc>
          <w:tcPr>
            <w:tcW w:w="5272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2314"/>
              <w:rPr>
                <w:sz w:val="10"/>
              </w:rPr>
            </w:pPr>
            <w:r>
              <w:rPr>
                <w:sz w:val="10"/>
              </w:rPr>
              <w:t>Até o Bimestre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Previsão Inicial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27.737.000,00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Previsão Atualizada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27.737.000,00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Receitas Realizadas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12.327.289,03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Saldos de Exercícios Anteriores ( Utilizado para Créditos Adicionais )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391.262,38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Dotação Inicial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27.737.000,00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Créditos Adicionais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4.337.243,58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Reduções Crédito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3.732.242,98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Créditos Adicionais - Reduções Crédito (-)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605.000,60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Dotação Atualizada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28.342.000,60</w:t>
            </w:r>
          </w:p>
        </w:tc>
      </w:tr>
      <w:tr>
        <w:trPr>
          <w:trHeight w:val="130" w:hRule="atLeast"/>
        </w:trPr>
        <w:tc>
          <w:tcPr>
            <w:tcW w:w="5293" w:type="dxa"/>
          </w:tcPr>
          <w:p>
            <w:pPr>
              <w:pStyle w:val="TableParagraph"/>
              <w:spacing w:line="110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Despesas Empenhadas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13.583.557,01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Despesas Liquidadas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10.707.188,04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Despesas Pagas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9.555.461,11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Superávit Orçamentário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1.620.100,99</w:t>
            </w:r>
          </w:p>
        </w:tc>
      </w:tr>
      <w:tr>
        <w:trPr>
          <w:trHeight w:val="400" w:hRule="atLeast"/>
        </w:trPr>
        <w:tc>
          <w:tcPr>
            <w:tcW w:w="5293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718"/>
              <w:rPr>
                <w:sz w:val="10"/>
              </w:rPr>
            </w:pPr>
            <w:r>
              <w:rPr>
                <w:sz w:val="10"/>
              </w:rPr>
              <w:t>DESPESAS POR FUNÇÃO/SUBFUNÇÃO</w:t>
            </w:r>
          </w:p>
        </w:tc>
        <w:tc>
          <w:tcPr>
            <w:tcW w:w="5272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2314"/>
              <w:rPr>
                <w:sz w:val="10"/>
              </w:rPr>
            </w:pPr>
            <w:r>
              <w:rPr>
                <w:sz w:val="10"/>
              </w:rPr>
              <w:t>Até o Bimestre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Despesas Empenhadas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13.583.557,01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Despesas Liquidadas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10.707.188,04</w:t>
            </w:r>
          </w:p>
        </w:tc>
      </w:tr>
      <w:tr>
        <w:trPr>
          <w:trHeight w:val="400" w:hRule="atLeast"/>
        </w:trPr>
        <w:tc>
          <w:tcPr>
            <w:tcW w:w="5293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755" w:right="1752"/>
              <w:jc w:val="center"/>
              <w:rPr>
                <w:sz w:val="10"/>
              </w:rPr>
            </w:pPr>
            <w:r>
              <w:rPr>
                <w:sz w:val="10"/>
              </w:rPr>
              <w:t>RECEITA CORRENTE LÍQUIDA - RCL</w:t>
            </w:r>
          </w:p>
        </w:tc>
        <w:tc>
          <w:tcPr>
            <w:tcW w:w="5272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2314"/>
              <w:rPr>
                <w:sz w:val="10"/>
              </w:rPr>
            </w:pPr>
            <w:r>
              <w:rPr>
                <w:sz w:val="10"/>
              </w:rPr>
              <w:t>Até o Bimestre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Receita Corrente Líquida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19.008.128,72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RCL Ajustada Para Cálculo Dos Limites De Endividamento (V) = (III - IV)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19.008.128,72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RCL Ajustada Para Cálculo Dos Limites Da Despesa Com Pessoal (VII)= (V - VI)</w:t>
            </w:r>
          </w:p>
        </w:tc>
        <w:tc>
          <w:tcPr>
            <w:tcW w:w="5272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19.008.128,72</w:t>
            </w:r>
          </w:p>
        </w:tc>
      </w:tr>
    </w:tbl>
    <w:p>
      <w:pPr>
        <w:pStyle w:val="BodyText"/>
        <w:spacing w:before="5" w:after="1"/>
      </w:pPr>
    </w:p>
    <w:tbl>
      <w:tblPr>
        <w:tblW w:w="0" w:type="auto"/>
        <w:jc w:val="left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3"/>
        <w:gridCol w:w="1323"/>
        <w:gridCol w:w="451"/>
        <w:gridCol w:w="869"/>
        <w:gridCol w:w="878"/>
        <w:gridCol w:w="429"/>
        <w:gridCol w:w="1320"/>
      </w:tblGrid>
      <w:tr>
        <w:trPr>
          <w:trHeight w:val="400" w:hRule="atLeast"/>
        </w:trPr>
        <w:tc>
          <w:tcPr>
            <w:tcW w:w="5293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753" w:right="1752"/>
              <w:jc w:val="center"/>
              <w:rPr>
                <w:sz w:val="10"/>
              </w:rPr>
            </w:pPr>
            <w:r>
              <w:rPr>
                <w:sz w:val="10"/>
              </w:rPr>
              <w:t>RESULTADO NOMINAL E PRIMÁRIO</w:t>
            </w:r>
          </w:p>
        </w:tc>
        <w:tc>
          <w:tcPr>
            <w:tcW w:w="1774" w:type="dxa"/>
            <w:gridSpan w:val="2"/>
            <w:shd w:val="clear" w:color="auto" w:fill="ECECEC"/>
          </w:tcPr>
          <w:p>
            <w:pPr>
              <w:pStyle w:val="TableParagraph"/>
              <w:spacing w:line="266" w:lineRule="auto" w:before="5"/>
              <w:ind w:left="26" w:right="20"/>
              <w:jc w:val="center"/>
              <w:rPr>
                <w:sz w:val="10"/>
              </w:rPr>
            </w:pPr>
            <w:r>
              <w:rPr>
                <w:sz w:val="10"/>
              </w:rPr>
              <w:t>Meta</w:t>
            </w:r>
            <w:r>
              <w:rPr>
                <w:spacing w:val="-12"/>
                <w:sz w:val="10"/>
              </w:rPr>
              <w:t> </w:t>
            </w:r>
            <w:r>
              <w:rPr>
                <w:sz w:val="10"/>
              </w:rPr>
              <w:t>Fixada</w:t>
            </w:r>
            <w:r>
              <w:rPr>
                <w:spacing w:val="-11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-11"/>
                <w:sz w:val="10"/>
              </w:rPr>
              <w:t> </w:t>
            </w:r>
            <w:r>
              <w:rPr>
                <w:sz w:val="10"/>
              </w:rPr>
              <w:t>Anexo</w:t>
            </w:r>
            <w:r>
              <w:rPr>
                <w:spacing w:val="-1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1"/>
                <w:sz w:val="10"/>
              </w:rPr>
              <w:t> </w:t>
            </w:r>
            <w:r>
              <w:rPr>
                <w:sz w:val="10"/>
              </w:rPr>
              <w:t>Metas</w:t>
            </w:r>
            <w:r>
              <w:rPr>
                <w:spacing w:val="-12"/>
                <w:sz w:val="10"/>
              </w:rPr>
              <w:t> </w:t>
            </w:r>
            <w:r>
              <w:rPr>
                <w:sz w:val="10"/>
              </w:rPr>
              <w:t>Fiscais da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LDO</w:t>
            </w:r>
          </w:p>
          <w:p>
            <w:pPr>
              <w:pStyle w:val="TableParagraph"/>
              <w:spacing w:line="114" w:lineRule="exact" w:before="0"/>
              <w:ind w:left="24" w:right="20"/>
              <w:jc w:val="center"/>
              <w:rPr>
                <w:sz w:val="10"/>
              </w:rPr>
            </w:pPr>
            <w:r>
              <w:rPr>
                <w:sz w:val="10"/>
              </w:rPr>
              <w:t>(a)</w:t>
            </w:r>
          </w:p>
        </w:tc>
        <w:tc>
          <w:tcPr>
            <w:tcW w:w="1747" w:type="dxa"/>
            <w:gridSpan w:val="2"/>
            <w:shd w:val="clear" w:color="auto" w:fill="ECECEC"/>
          </w:tcPr>
          <w:p>
            <w:pPr>
              <w:pStyle w:val="TableParagraph"/>
              <w:spacing w:line="266" w:lineRule="auto" w:before="5"/>
              <w:ind w:left="426" w:right="423"/>
              <w:jc w:val="center"/>
              <w:rPr>
                <w:sz w:val="10"/>
              </w:rPr>
            </w:pPr>
            <w:r>
              <w:rPr>
                <w:sz w:val="10"/>
              </w:rPr>
              <w:t>Resultado Apurado Até o Bimestre</w:t>
            </w:r>
          </w:p>
          <w:p>
            <w:pPr>
              <w:pStyle w:val="TableParagraph"/>
              <w:spacing w:line="114" w:lineRule="exact" w:before="0"/>
              <w:ind w:left="426" w:right="423"/>
              <w:jc w:val="center"/>
              <w:rPr>
                <w:sz w:val="10"/>
              </w:rPr>
            </w:pPr>
            <w:r>
              <w:rPr>
                <w:sz w:val="10"/>
              </w:rPr>
              <w:t>(b)</w:t>
            </w:r>
          </w:p>
        </w:tc>
        <w:tc>
          <w:tcPr>
            <w:tcW w:w="1749" w:type="dxa"/>
            <w:gridSpan w:val="2"/>
            <w:shd w:val="clear" w:color="auto" w:fill="ECECEC"/>
          </w:tcPr>
          <w:p>
            <w:pPr>
              <w:pStyle w:val="TableParagraph"/>
              <w:spacing w:line="266" w:lineRule="auto" w:before="68"/>
              <w:ind w:left="773" w:right="185" w:hanging="384"/>
              <w:rPr>
                <w:sz w:val="10"/>
              </w:rPr>
            </w:pPr>
            <w:r>
              <w:rPr>
                <w:sz w:val="10"/>
              </w:rPr>
              <w:t>% em Relação à Meta (b/a)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Resultado Primário - Acima da Linha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1.436.252,62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ind w:right="10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543.278,13</w:t>
            </w:r>
          </w:p>
        </w:tc>
        <w:tc>
          <w:tcPr>
            <w:tcW w:w="1749" w:type="dxa"/>
            <w:gridSpan w:val="2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37,83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Resultado Nominal - Acima da Linha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1.436.252,62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ind w:right="10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574.113,27</w:t>
            </w:r>
          </w:p>
        </w:tc>
        <w:tc>
          <w:tcPr>
            <w:tcW w:w="1749" w:type="dxa"/>
            <w:gridSpan w:val="2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39,97</w:t>
            </w:r>
          </w:p>
        </w:tc>
      </w:tr>
      <w:tr>
        <w:trPr>
          <w:trHeight w:val="400" w:hRule="atLeast"/>
        </w:trPr>
        <w:tc>
          <w:tcPr>
            <w:tcW w:w="5293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104"/>
              <w:rPr>
                <w:sz w:val="10"/>
              </w:rPr>
            </w:pPr>
            <w:r>
              <w:rPr>
                <w:sz w:val="10"/>
              </w:rPr>
              <w:t>RESTOS A PAGAR A PAGAR POR PODER E MINISTÉRIO PÚBLICO</w:t>
            </w:r>
          </w:p>
        </w:tc>
        <w:tc>
          <w:tcPr>
            <w:tcW w:w="1323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440" w:right="436"/>
              <w:jc w:val="center"/>
              <w:rPr>
                <w:sz w:val="10"/>
              </w:rPr>
            </w:pPr>
            <w:r>
              <w:rPr>
                <w:sz w:val="10"/>
              </w:rPr>
              <w:t>Inscrição</w:t>
            </w:r>
          </w:p>
        </w:tc>
        <w:tc>
          <w:tcPr>
            <w:tcW w:w="1320" w:type="dxa"/>
            <w:gridSpan w:val="2"/>
            <w:shd w:val="clear" w:color="auto" w:fill="ECECEC"/>
          </w:tcPr>
          <w:p>
            <w:pPr>
              <w:pStyle w:val="TableParagraph"/>
              <w:spacing w:line="266" w:lineRule="auto" w:before="68"/>
              <w:ind w:left="338" w:right="205" w:hanging="3"/>
              <w:rPr>
                <w:sz w:val="10"/>
              </w:rPr>
            </w:pPr>
            <w:r>
              <w:rPr>
                <w:sz w:val="10"/>
              </w:rPr>
              <w:t>Cancelamento Até o Bimestre</w:t>
            </w:r>
          </w:p>
        </w:tc>
        <w:tc>
          <w:tcPr>
            <w:tcW w:w="1307" w:type="dxa"/>
            <w:gridSpan w:val="2"/>
            <w:shd w:val="clear" w:color="auto" w:fill="ECECEC"/>
          </w:tcPr>
          <w:p>
            <w:pPr>
              <w:pStyle w:val="TableParagraph"/>
              <w:spacing w:line="266" w:lineRule="auto" w:before="68"/>
              <w:ind w:left="331" w:right="262" w:firstLine="67"/>
              <w:rPr>
                <w:sz w:val="10"/>
              </w:rPr>
            </w:pPr>
            <w:r>
              <w:rPr>
                <w:sz w:val="10"/>
              </w:rPr>
              <w:t>Pagamento Até o Bimestre</w:t>
            </w:r>
          </w:p>
        </w:tc>
        <w:tc>
          <w:tcPr>
            <w:tcW w:w="1320" w:type="dxa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347"/>
              <w:rPr>
                <w:sz w:val="10"/>
              </w:rPr>
            </w:pPr>
            <w:r>
              <w:rPr>
                <w:sz w:val="10"/>
              </w:rPr>
              <w:t>Saldo a Pagar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Restos a Pagar Processados</w:t>
            </w:r>
          </w:p>
        </w:tc>
        <w:tc>
          <w:tcPr>
            <w:tcW w:w="1323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2.464.269,88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809,84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ind w:left="806"/>
              <w:rPr>
                <w:sz w:val="8"/>
              </w:rPr>
            </w:pPr>
            <w:r>
              <w:rPr>
                <w:w w:val="105"/>
                <w:sz w:val="8"/>
              </w:rPr>
              <w:t>1.705.426,07</w:t>
            </w:r>
          </w:p>
        </w:tc>
        <w:tc>
          <w:tcPr>
            <w:tcW w:w="1320" w:type="dxa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758.033,97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10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Poder Executivo</w:t>
            </w:r>
          </w:p>
        </w:tc>
        <w:tc>
          <w:tcPr>
            <w:tcW w:w="1323" w:type="dxa"/>
          </w:tcPr>
          <w:p>
            <w:pPr>
              <w:pStyle w:val="TableParagraph"/>
              <w:spacing w:before="13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2.463.780,61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spacing w:before="13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809,84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spacing w:before="13"/>
              <w:ind w:left="806"/>
              <w:rPr>
                <w:sz w:val="8"/>
              </w:rPr>
            </w:pPr>
            <w:r>
              <w:rPr>
                <w:w w:val="105"/>
                <w:sz w:val="8"/>
              </w:rPr>
              <w:t>1.704.936,80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758.033,97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Poder Legislativo</w:t>
            </w:r>
          </w:p>
        </w:tc>
        <w:tc>
          <w:tcPr>
            <w:tcW w:w="1323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489,27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489,27</w:t>
            </w:r>
          </w:p>
        </w:tc>
        <w:tc>
          <w:tcPr>
            <w:tcW w:w="1320" w:type="dxa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Restos a Pagar Não-Processados</w:t>
            </w:r>
          </w:p>
        </w:tc>
        <w:tc>
          <w:tcPr>
            <w:tcW w:w="1323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262.195,68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7.170,99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485.603,95</w:t>
            </w:r>
          </w:p>
        </w:tc>
        <w:tc>
          <w:tcPr>
            <w:tcW w:w="1320" w:type="dxa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-230.579,26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Poder Executivo</w:t>
            </w:r>
          </w:p>
        </w:tc>
        <w:tc>
          <w:tcPr>
            <w:tcW w:w="1323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237.195,68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670,99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467.103,95</w:t>
            </w:r>
          </w:p>
        </w:tc>
        <w:tc>
          <w:tcPr>
            <w:tcW w:w="1320" w:type="dxa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-230.579,26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127"/>
              <w:rPr>
                <w:sz w:val="10"/>
              </w:rPr>
            </w:pPr>
            <w:r>
              <w:rPr>
                <w:sz w:val="10"/>
              </w:rPr>
              <w:t>Poder Legislativo</w:t>
            </w:r>
          </w:p>
        </w:tc>
        <w:tc>
          <w:tcPr>
            <w:tcW w:w="1323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25.000,00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6.500,00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18.500,00</w:t>
            </w:r>
          </w:p>
        </w:tc>
        <w:tc>
          <w:tcPr>
            <w:tcW w:w="1320" w:type="dxa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Total</w:t>
            </w:r>
          </w:p>
        </w:tc>
        <w:tc>
          <w:tcPr>
            <w:tcW w:w="1323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2.726.465,56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7.980,83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ind w:left="806"/>
              <w:rPr>
                <w:sz w:val="8"/>
              </w:rPr>
            </w:pPr>
            <w:r>
              <w:rPr>
                <w:w w:val="105"/>
                <w:sz w:val="8"/>
              </w:rPr>
              <w:t>2.191.030,02</w:t>
            </w:r>
          </w:p>
        </w:tc>
        <w:tc>
          <w:tcPr>
            <w:tcW w:w="1320" w:type="dxa"/>
          </w:tcPr>
          <w:p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527.454,71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3"/>
        <w:gridCol w:w="1775"/>
        <w:gridCol w:w="1748"/>
        <w:gridCol w:w="1751"/>
      </w:tblGrid>
      <w:tr>
        <w:trPr>
          <w:trHeight w:val="157" w:hRule="atLeast"/>
        </w:trPr>
        <w:tc>
          <w:tcPr>
            <w:tcW w:w="52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sz w:val="10"/>
              </w:rPr>
              <w:t>RREO - Anexo XIV (LRF, Art . 48)</w:t>
            </w:r>
          </w:p>
        </w:tc>
        <w:tc>
          <w:tcPr>
            <w:tcW w:w="177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10" w:lineRule="exact" w:before="0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R$ 1,00</w:t>
            </w:r>
          </w:p>
        </w:tc>
      </w:tr>
      <w:tr>
        <w:trPr>
          <w:trHeight w:val="129" w:hRule="atLeast"/>
        </w:trPr>
        <w:tc>
          <w:tcPr>
            <w:tcW w:w="5293" w:type="dxa"/>
            <w:vMerge w:val="restart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056"/>
              <w:rPr>
                <w:sz w:val="10"/>
              </w:rPr>
            </w:pPr>
            <w:r>
              <w:rPr>
                <w:sz w:val="10"/>
              </w:rPr>
              <w:t>DESPESAS COM MANUTENÇÃO E DESENVOLVIMENTO DO ENSINO</w:t>
            </w:r>
          </w:p>
        </w:tc>
        <w:tc>
          <w:tcPr>
            <w:tcW w:w="1775" w:type="dxa"/>
            <w:vMerge w:val="restart"/>
            <w:shd w:val="clear" w:color="auto" w:fill="ECECEC"/>
          </w:tcPr>
          <w:p>
            <w:pPr>
              <w:pStyle w:val="TableParagraph"/>
              <w:spacing w:line="266" w:lineRule="auto" w:before="68"/>
              <w:ind w:left="564" w:right="432" w:firstLine="4"/>
              <w:rPr>
                <w:sz w:val="10"/>
              </w:rPr>
            </w:pPr>
            <w:r>
              <w:rPr>
                <w:sz w:val="10"/>
              </w:rPr>
              <w:t>Valor Apurado Até o Bimestre</w:t>
            </w:r>
          </w:p>
        </w:tc>
        <w:tc>
          <w:tcPr>
            <w:tcW w:w="3499" w:type="dxa"/>
            <w:gridSpan w:val="2"/>
            <w:shd w:val="clear" w:color="auto" w:fill="ECECEC"/>
          </w:tcPr>
          <w:p>
            <w:pPr>
              <w:pStyle w:val="TableParagraph"/>
              <w:spacing w:line="109" w:lineRule="exact" w:before="0"/>
              <w:ind w:left="1086"/>
              <w:rPr>
                <w:sz w:val="10"/>
              </w:rPr>
            </w:pPr>
            <w:r>
              <w:rPr>
                <w:sz w:val="10"/>
              </w:rPr>
              <w:t>Limites Constitucionais Anuais</w:t>
            </w:r>
          </w:p>
        </w:tc>
      </w:tr>
      <w:tr>
        <w:trPr>
          <w:trHeight w:val="266" w:hRule="atLeast"/>
        </w:trPr>
        <w:tc>
          <w:tcPr>
            <w:tcW w:w="5293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shd w:val="clear" w:color="auto" w:fill="ECECEC"/>
          </w:tcPr>
          <w:p>
            <w:pPr>
              <w:pStyle w:val="TableParagraph"/>
              <w:spacing w:before="3"/>
              <w:ind w:left="409" w:right="405"/>
              <w:jc w:val="center"/>
              <w:rPr>
                <w:sz w:val="10"/>
              </w:rPr>
            </w:pPr>
            <w:r>
              <w:rPr>
                <w:sz w:val="10"/>
              </w:rPr>
              <w:t>% Mínimo a</w:t>
            </w:r>
          </w:p>
          <w:p>
            <w:pPr>
              <w:pStyle w:val="TableParagraph"/>
              <w:ind w:left="408" w:right="408"/>
              <w:jc w:val="center"/>
              <w:rPr>
                <w:sz w:val="10"/>
              </w:rPr>
            </w:pPr>
            <w:r>
              <w:rPr>
                <w:sz w:val="10"/>
              </w:rPr>
              <w:t>Aplicar no Exercício</w:t>
            </w:r>
          </w:p>
        </w:tc>
        <w:tc>
          <w:tcPr>
            <w:tcW w:w="1751" w:type="dxa"/>
            <w:shd w:val="clear" w:color="auto" w:fill="ECECEC"/>
          </w:tcPr>
          <w:p>
            <w:pPr>
              <w:pStyle w:val="TableParagraph"/>
              <w:spacing w:before="3"/>
              <w:ind w:left="524" w:right="524"/>
              <w:jc w:val="center"/>
              <w:rPr>
                <w:sz w:val="10"/>
              </w:rPr>
            </w:pPr>
            <w:r>
              <w:rPr>
                <w:sz w:val="10"/>
              </w:rPr>
              <w:t>% Aplicado</w:t>
            </w:r>
          </w:p>
          <w:p>
            <w:pPr>
              <w:pStyle w:val="TableParagraph"/>
              <w:ind w:left="524" w:right="525"/>
              <w:jc w:val="center"/>
              <w:rPr>
                <w:sz w:val="10"/>
              </w:rPr>
            </w:pPr>
            <w:r>
              <w:rPr>
                <w:sz w:val="10"/>
              </w:rPr>
              <w:t>Até o Bimestre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Mínimo Anual de &lt;18% / 25%&gt; das Receitas de Impostos na Manutenção e Desenvolvimento do Ensino</w:t>
            </w:r>
          </w:p>
        </w:tc>
        <w:tc>
          <w:tcPr>
            <w:tcW w:w="1775" w:type="dxa"/>
          </w:tcPr>
          <w:p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2.251.378,34</w:t>
            </w:r>
          </w:p>
        </w:tc>
        <w:tc>
          <w:tcPr>
            <w:tcW w:w="1748" w:type="dxa"/>
          </w:tcPr>
          <w:p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25,00</w:t>
            </w:r>
          </w:p>
        </w:tc>
        <w:tc>
          <w:tcPr>
            <w:tcW w:w="1751" w:type="dxa"/>
          </w:tcPr>
          <w:p>
            <w:pPr>
              <w:pStyle w:val="TableParagraph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25,35</w:t>
            </w:r>
          </w:p>
        </w:tc>
      </w:tr>
      <w:tr>
        <w:trPr>
          <w:trHeight w:val="130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Mínimo Anual de 60% do FUNDEB na Remuneração do Magistério com Educação Infantil e Ensino Fundamental</w:t>
            </w:r>
          </w:p>
        </w:tc>
        <w:tc>
          <w:tcPr>
            <w:tcW w:w="1775" w:type="dxa"/>
          </w:tcPr>
          <w:p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1.407.345,71</w:t>
            </w:r>
          </w:p>
        </w:tc>
        <w:tc>
          <w:tcPr>
            <w:tcW w:w="1748" w:type="dxa"/>
          </w:tcPr>
          <w:p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60,00</w:t>
            </w:r>
          </w:p>
        </w:tc>
        <w:tc>
          <w:tcPr>
            <w:tcW w:w="1751" w:type="dxa"/>
          </w:tcPr>
          <w:p>
            <w:pPr>
              <w:pStyle w:val="TableParagraph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57,37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3"/>
        <w:gridCol w:w="1774"/>
        <w:gridCol w:w="1748"/>
        <w:gridCol w:w="1750"/>
      </w:tblGrid>
      <w:tr>
        <w:trPr>
          <w:trHeight w:val="129" w:hRule="atLeast"/>
        </w:trPr>
        <w:tc>
          <w:tcPr>
            <w:tcW w:w="5293" w:type="dxa"/>
            <w:vMerge w:val="restart"/>
            <w:shd w:val="clear" w:color="auto" w:fill="ECECEC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before="0"/>
              <w:ind w:left="1236"/>
              <w:rPr>
                <w:sz w:val="10"/>
              </w:rPr>
            </w:pPr>
            <w:r>
              <w:rPr>
                <w:sz w:val="10"/>
              </w:rPr>
              <w:t>DESPESAS COM AÇÕES E SERVIÇOS PÚBLICOS DE SAÚDE</w:t>
            </w:r>
          </w:p>
        </w:tc>
        <w:tc>
          <w:tcPr>
            <w:tcW w:w="1774" w:type="dxa"/>
            <w:vMerge w:val="restart"/>
            <w:shd w:val="clear" w:color="auto" w:fill="ECECEC"/>
          </w:tcPr>
          <w:p>
            <w:pPr>
              <w:pStyle w:val="TableParagraph"/>
              <w:spacing w:line="266" w:lineRule="auto" w:before="68"/>
              <w:ind w:left="564" w:right="431" w:firstLine="4"/>
              <w:rPr>
                <w:sz w:val="10"/>
              </w:rPr>
            </w:pPr>
            <w:r>
              <w:rPr>
                <w:sz w:val="10"/>
              </w:rPr>
              <w:t>Valor Apurado Até o Bimestre</w:t>
            </w:r>
          </w:p>
        </w:tc>
        <w:tc>
          <w:tcPr>
            <w:tcW w:w="3498" w:type="dxa"/>
            <w:gridSpan w:val="2"/>
            <w:shd w:val="clear" w:color="auto" w:fill="ECECEC"/>
          </w:tcPr>
          <w:p>
            <w:pPr>
              <w:pStyle w:val="TableParagraph"/>
              <w:spacing w:line="109" w:lineRule="exact" w:before="0"/>
              <w:ind w:left="1087"/>
              <w:rPr>
                <w:sz w:val="10"/>
              </w:rPr>
            </w:pPr>
            <w:r>
              <w:rPr>
                <w:sz w:val="10"/>
              </w:rPr>
              <w:t>Limites Constitucionais Anuais</w:t>
            </w:r>
          </w:p>
        </w:tc>
      </w:tr>
      <w:tr>
        <w:trPr>
          <w:trHeight w:val="266" w:hRule="atLeast"/>
        </w:trPr>
        <w:tc>
          <w:tcPr>
            <w:tcW w:w="5293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shd w:val="clear" w:color="auto" w:fill="ECECEC"/>
          </w:tcPr>
          <w:p>
            <w:pPr>
              <w:pStyle w:val="TableParagraph"/>
              <w:spacing w:before="3"/>
              <w:ind w:left="409" w:right="404"/>
              <w:jc w:val="center"/>
              <w:rPr>
                <w:sz w:val="10"/>
              </w:rPr>
            </w:pPr>
            <w:r>
              <w:rPr>
                <w:sz w:val="10"/>
              </w:rPr>
              <w:t>% Mínimo a</w:t>
            </w:r>
          </w:p>
          <w:p>
            <w:pPr>
              <w:pStyle w:val="TableParagraph"/>
              <w:ind w:left="409" w:right="407"/>
              <w:jc w:val="center"/>
              <w:rPr>
                <w:sz w:val="10"/>
              </w:rPr>
            </w:pPr>
            <w:r>
              <w:rPr>
                <w:sz w:val="10"/>
              </w:rPr>
              <w:t>Aplicar no Exercício</w:t>
            </w:r>
          </w:p>
        </w:tc>
        <w:tc>
          <w:tcPr>
            <w:tcW w:w="1750" w:type="dxa"/>
            <w:shd w:val="clear" w:color="auto" w:fill="ECECEC"/>
          </w:tcPr>
          <w:p>
            <w:pPr>
              <w:pStyle w:val="TableParagraph"/>
              <w:spacing w:before="3"/>
              <w:ind w:left="524" w:right="521"/>
              <w:jc w:val="center"/>
              <w:rPr>
                <w:sz w:val="10"/>
              </w:rPr>
            </w:pPr>
            <w:r>
              <w:rPr>
                <w:sz w:val="10"/>
              </w:rPr>
              <w:t>% Aplicado</w:t>
            </w:r>
          </w:p>
          <w:p>
            <w:pPr>
              <w:pStyle w:val="TableParagraph"/>
              <w:ind w:left="524" w:right="524"/>
              <w:jc w:val="center"/>
              <w:rPr>
                <w:sz w:val="10"/>
              </w:rPr>
            </w:pPr>
            <w:r>
              <w:rPr>
                <w:sz w:val="10"/>
              </w:rPr>
              <w:t>Até o Bimestre</w:t>
            </w:r>
          </w:p>
        </w:tc>
      </w:tr>
      <w:tr>
        <w:trPr>
          <w:trHeight w:val="129" w:hRule="atLeast"/>
        </w:trPr>
        <w:tc>
          <w:tcPr>
            <w:tcW w:w="5293" w:type="dxa"/>
          </w:tcPr>
          <w:p>
            <w:pPr>
              <w:pStyle w:val="TableParagraph"/>
              <w:spacing w:line="109" w:lineRule="exact" w:before="0"/>
              <w:ind w:left="21"/>
              <w:rPr>
                <w:sz w:val="10"/>
              </w:rPr>
            </w:pPr>
            <w:r>
              <w:rPr>
                <w:sz w:val="10"/>
              </w:rPr>
              <w:t>Despesas com Ações e Serviços Públicos de Saúde executadas com recursos de impostos</w:t>
            </w:r>
          </w:p>
        </w:tc>
        <w:tc>
          <w:tcPr>
            <w:tcW w:w="1774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2.674.243,82</w:t>
            </w:r>
          </w:p>
        </w:tc>
        <w:tc>
          <w:tcPr>
            <w:tcW w:w="1748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15,00</w:t>
            </w:r>
          </w:p>
        </w:tc>
        <w:tc>
          <w:tcPr>
            <w:tcW w:w="1750" w:type="dxa"/>
          </w:tcPr>
          <w:p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30,12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7"/>
      </w:tblGrid>
      <w:tr>
        <w:trPr>
          <w:trHeight w:val="211" w:hRule="atLeast"/>
        </w:trPr>
        <w:tc>
          <w:tcPr>
            <w:tcW w:w="10637" w:type="dxa"/>
          </w:tcPr>
          <w:p>
            <w:pPr>
              <w:pStyle w:val="TableParagraph"/>
              <w:spacing w:line="110" w:lineRule="exact" w:before="0"/>
              <w:ind w:left="97"/>
              <w:rPr>
                <w:sz w:val="10"/>
              </w:rPr>
            </w:pPr>
            <w:r>
              <w:rPr>
                <w:sz w:val="10"/>
              </w:rPr>
              <w:t>FONTE: SISTEMA CONTÁBIL, UNIDADE RESPONSÁVEL Município de Chuvisca, DATA DA EMISSÃO 22/09/2020 E HORA DA EMISSÃO 08:19:34</w:t>
            </w:r>
          </w:p>
        </w:tc>
      </w:tr>
      <w:tr>
        <w:trPr>
          <w:trHeight w:val="338" w:hRule="atLeast"/>
        </w:trPr>
        <w:tc>
          <w:tcPr>
            <w:tcW w:w="10637" w:type="dxa"/>
          </w:tcPr>
          <w:p>
            <w:pPr>
              <w:pStyle w:val="TableParagraph"/>
              <w:spacing w:before="11"/>
              <w:rPr>
                <w:sz w:val="7"/>
              </w:rPr>
            </w:pPr>
          </w:p>
          <w:p>
            <w:pPr>
              <w:pStyle w:val="TableParagraph"/>
              <w:spacing w:line="120" w:lineRule="atLeast" w:before="0"/>
              <w:ind w:left="97"/>
              <w:rPr>
                <w:sz w:val="10"/>
              </w:rPr>
            </w:pPr>
            <w:r>
              <w:rPr>
                <w:sz w:val="10"/>
              </w:rPr>
              <w:t>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RELATÓRIO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RESUMIDO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DA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EXECUÇÃO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ORÇAMENTÁRIA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JULHO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AGOSTO/2020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ENCONTRA-SE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AFIXADO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ÁTRIO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DA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PREFEITURA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CHUVISCA,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AV</w:t>
            </w:r>
            <w:r>
              <w:rPr>
                <w:spacing w:val="-11"/>
                <w:sz w:val="10"/>
              </w:rPr>
              <w:t> </w:t>
            </w:r>
            <w:r>
              <w:rPr>
                <w:sz w:val="10"/>
              </w:rPr>
              <w:t>AV.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28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1"/>
                <w:sz w:val="10"/>
              </w:rPr>
              <w:t> </w:t>
            </w:r>
            <w:r>
              <w:rPr>
                <w:sz w:val="10"/>
              </w:rPr>
              <w:t>DEZEMBRO,3000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,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HORÁRIO</w:t>
            </w:r>
            <w:r>
              <w:rPr>
                <w:spacing w:val="-10"/>
                <w:sz w:val="10"/>
              </w:rPr>
              <w:t> </w:t>
            </w:r>
            <w:r>
              <w:rPr>
                <w:sz w:val="10"/>
              </w:rPr>
              <w:t>DAS 08:00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ÀS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12:00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13:00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ÀS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17:00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CONTAR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QUARTA-FEIRA,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30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SETEMBRO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2020,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BEM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COMO,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DISPONIBILIZADO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SITE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PREFEITURA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: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https://</w:t>
            </w:r>
            <w:hyperlink r:id="rId6">
              <w:r>
                <w:rPr>
                  <w:sz w:val="10"/>
                </w:rPr>
                <w:t>www.chuvisca.rs.gov.br/contas_publicas.php.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tabs>
          <w:tab w:pos="2965" w:val="left" w:leader="none"/>
          <w:tab w:pos="5710" w:val="left" w:leader="none"/>
          <w:tab w:pos="8398" w:val="left" w:leader="none"/>
        </w:tabs>
        <w:spacing w:line="20" w:lineRule="exact"/>
        <w:ind w:left="188" w:right="0" w:firstLine="0"/>
        <w:rPr>
          <w:sz w:val="2"/>
        </w:rPr>
      </w:pPr>
      <w:r>
        <w:rPr>
          <w:sz w:val="2"/>
        </w:rPr>
        <w:pict>
          <v:group style="width:118.85pt;height:.75pt;mso-position-horizontal-relative:char;mso-position-vertical-relative:line" coordorigin="0,0" coordsize="2377,15">
            <v:rect style="position:absolute;left:0;top:0;width:15;height:15" filled="true" fillcolor="#000000" stroked="false">
              <v:fill type="solid"/>
            </v:rect>
            <v:rect style="position:absolute;left:28;top:0;width:15;height:15" filled="true" fillcolor="#000000" stroked="false">
              <v:fill type="solid"/>
            </v:rect>
            <v:rect style="position:absolute;left:57;top:0;width:15;height:15" filled="true" fillcolor="#000000" stroked="false">
              <v:fill type="solid"/>
            </v:rect>
            <v:rect style="position:absolute;left:86;top:0;width:15;height:15" filled="true" fillcolor="#000000" stroked="false">
              <v:fill type="solid"/>
            </v:rect>
            <v:rect style="position:absolute;left:115;top:0;width:15;height:15" filled="true" fillcolor="#000000" stroked="false">
              <v:fill type="solid"/>
            </v:rect>
            <v:rect style="position:absolute;left:144;top:0;width:15;height:15" filled="true" fillcolor="#000000" stroked="false">
              <v:fill type="solid"/>
            </v:rect>
            <v:rect style="position:absolute;left:172;top:0;width:15;height:15" filled="true" fillcolor="#000000" stroked="false">
              <v:fill type="solid"/>
            </v:rect>
            <v:rect style="position:absolute;left:201;top:0;width:15;height:15" filled="true" fillcolor="#000000" stroked="false">
              <v:fill type="solid"/>
            </v:rect>
            <v:rect style="position:absolute;left:230;top:0;width:15;height:15" filled="true" fillcolor="#000000" stroked="false">
              <v:fill type="solid"/>
            </v:rect>
            <v:rect style="position:absolute;left:259;top:0;width:15;height:15" filled="true" fillcolor="#000000" stroked="false">
              <v:fill type="solid"/>
            </v:rect>
            <v:rect style="position:absolute;left:288;top:0;width:15;height:15" filled="true" fillcolor="#000000" stroked="false">
              <v:fill type="solid"/>
            </v:rect>
            <v:rect style="position:absolute;left:316;top:0;width:15;height:15" filled="true" fillcolor="#000000" stroked="false">
              <v:fill type="solid"/>
            </v:rect>
            <v:rect style="position:absolute;left:345;top:0;width:15;height:15" filled="true" fillcolor="#000000" stroked="false">
              <v:fill type="solid"/>
            </v:rect>
            <v:rect style="position:absolute;left:374;top:0;width:15;height:15" filled="true" fillcolor="#000000" stroked="false">
              <v:fill type="solid"/>
            </v:rect>
            <v:rect style="position:absolute;left:403;top:0;width:15;height:15" filled="true" fillcolor="#000000" stroked="false">
              <v:fill type="solid"/>
            </v:rect>
            <v:rect style="position:absolute;left:432;top:0;width:15;height:15" filled="true" fillcolor="#000000" stroked="false">
              <v:fill type="solid"/>
            </v:rect>
            <v:rect style="position:absolute;left:460;top:0;width:15;height:15" filled="true" fillcolor="#000000" stroked="false">
              <v:fill type="solid"/>
            </v:rect>
            <v:rect style="position:absolute;left:489;top:0;width:15;height:15" filled="true" fillcolor="#000000" stroked="false">
              <v:fill type="solid"/>
            </v:rect>
            <v:rect style="position:absolute;left:518;top:0;width:15;height:15" filled="true" fillcolor="#000000" stroked="false">
              <v:fill type="solid"/>
            </v:rect>
            <v:rect style="position:absolute;left:547;top:0;width:15;height:15" filled="true" fillcolor="#000000" stroked="false">
              <v:fill type="solid"/>
            </v:rect>
            <v:rect style="position:absolute;left:576;top:0;width:15;height:15" filled="true" fillcolor="#000000" stroked="false">
              <v:fill type="solid"/>
            </v:rect>
            <v:rect style="position:absolute;left:604;top:0;width:15;height:15" filled="true" fillcolor="#000000" stroked="false">
              <v:fill type="solid"/>
            </v:rect>
            <v:rect style="position:absolute;left:633;top:0;width:15;height:15" filled="true" fillcolor="#000000" stroked="false">
              <v:fill type="solid"/>
            </v:rect>
            <v:rect style="position:absolute;left:662;top:0;width:15;height:15" filled="true" fillcolor="#000000" stroked="false">
              <v:fill type="solid"/>
            </v:rect>
            <v:rect style="position:absolute;left:691;top:0;width:15;height:15" filled="true" fillcolor="#000000" stroked="false">
              <v:fill type="solid"/>
            </v:rect>
            <v:rect style="position:absolute;left:720;top:0;width:15;height:15" filled="true" fillcolor="#000000" stroked="false">
              <v:fill type="solid"/>
            </v:rect>
            <v:rect style="position:absolute;left:748;top:0;width:15;height:15" filled="true" fillcolor="#000000" stroked="false">
              <v:fill type="solid"/>
            </v:rect>
            <v:rect style="position:absolute;left:777;top:0;width:15;height:15" filled="true" fillcolor="#000000" stroked="false">
              <v:fill type="solid"/>
            </v:rect>
            <v:rect style="position:absolute;left:806;top:0;width:15;height:15" filled="true" fillcolor="#000000" stroked="false">
              <v:fill type="solid"/>
            </v:rect>
            <v:rect style="position:absolute;left:835;top:0;width:15;height:15" filled="true" fillcolor="#000000" stroked="false">
              <v:fill type="solid"/>
            </v:rect>
            <v:rect style="position:absolute;left:864;top:0;width:15;height:15" filled="true" fillcolor="#000000" stroked="false">
              <v:fill type="solid"/>
            </v:rect>
            <v:rect style="position:absolute;left:892;top:0;width:15;height:15" filled="true" fillcolor="#000000" stroked="false">
              <v:fill type="solid"/>
            </v:rect>
            <v:rect style="position:absolute;left:921;top:0;width:15;height:15" filled="true" fillcolor="#000000" stroked="false">
              <v:fill type="solid"/>
            </v:rect>
            <v:rect style="position:absolute;left:950;top:0;width:15;height:15" filled="true" fillcolor="#000000" stroked="false">
              <v:fill type="solid"/>
            </v:rect>
            <v:rect style="position:absolute;left:979;top:0;width:15;height:15" filled="true" fillcolor="#000000" stroked="false">
              <v:fill type="solid"/>
            </v:rect>
            <v:rect style="position:absolute;left:1008;top:0;width:15;height:15" filled="true" fillcolor="#000000" stroked="false">
              <v:fill type="solid"/>
            </v:rect>
            <v:rect style="position:absolute;left:1036;top:0;width:15;height:15" filled="true" fillcolor="#000000" stroked="false">
              <v:fill type="solid"/>
            </v:rect>
            <v:rect style="position:absolute;left:1065;top:0;width:15;height:15" filled="true" fillcolor="#000000" stroked="false">
              <v:fill type="solid"/>
            </v:rect>
            <v:rect style="position:absolute;left:1094;top:0;width:15;height:15" filled="true" fillcolor="#000000" stroked="false">
              <v:fill type="solid"/>
            </v:rect>
            <v:rect style="position:absolute;left:1123;top:0;width:15;height:15" filled="true" fillcolor="#000000" stroked="false">
              <v:fill type="solid"/>
            </v:rect>
            <v:rect style="position:absolute;left:1152;top:0;width:15;height:15" filled="true" fillcolor="#000000" stroked="false">
              <v:fill type="solid"/>
            </v:rect>
            <v:rect style="position:absolute;left:1180;top:0;width:15;height:15" filled="true" fillcolor="#000000" stroked="false">
              <v:fill type="solid"/>
            </v:rect>
            <v:rect style="position:absolute;left:1209;top:0;width:15;height:15" filled="true" fillcolor="#000000" stroked="false">
              <v:fill type="solid"/>
            </v:rect>
            <v:rect style="position:absolute;left:1238;top:0;width:15;height:15" filled="true" fillcolor="#000000" stroked="false">
              <v:fill type="solid"/>
            </v:rect>
            <v:rect style="position:absolute;left:1267;top:0;width:15;height:15" filled="true" fillcolor="#000000" stroked="false">
              <v:fill type="solid"/>
            </v:rect>
            <v:rect style="position:absolute;left:1296;top:0;width:15;height:15" filled="true" fillcolor="#000000" stroked="false">
              <v:fill type="solid"/>
            </v:rect>
            <v:rect style="position:absolute;left:1324;top:0;width:15;height:15" filled="true" fillcolor="#000000" stroked="false">
              <v:fill type="solid"/>
            </v:rect>
            <v:rect style="position:absolute;left:1353;top:0;width:15;height:15" filled="true" fillcolor="#000000" stroked="false">
              <v:fill type="solid"/>
            </v:rect>
            <v:rect style="position:absolute;left:1382;top:0;width:15;height:15" filled="true" fillcolor="#000000" stroked="false">
              <v:fill type="solid"/>
            </v:rect>
            <v:rect style="position:absolute;left:1411;top:0;width:15;height:15" filled="true" fillcolor="#000000" stroked="false">
              <v:fill type="solid"/>
            </v:rect>
            <v:rect style="position:absolute;left:1440;top:0;width:15;height:15" filled="true" fillcolor="#000000" stroked="false">
              <v:fill type="solid"/>
            </v:rect>
            <v:rect style="position:absolute;left:1469;top:0;width:15;height:15" filled="true" fillcolor="#000000" stroked="false">
              <v:fill type="solid"/>
            </v:rect>
            <v:rect style="position:absolute;left:1498;top:0;width:15;height:15" filled="true" fillcolor="#000000" stroked="false">
              <v:fill type="solid"/>
            </v:rect>
            <v:rect style="position:absolute;left:1526;top:0;width:15;height:15" filled="true" fillcolor="#000000" stroked="false">
              <v:fill type="solid"/>
            </v:rect>
            <v:rect style="position:absolute;left:1555;top:0;width:15;height:15" filled="true" fillcolor="#000000" stroked="false">
              <v:fill type="solid"/>
            </v:rect>
            <v:rect style="position:absolute;left:1584;top:0;width:15;height:15" filled="true" fillcolor="#000000" stroked="false">
              <v:fill type="solid"/>
            </v:rect>
            <v:rect style="position:absolute;left:1613;top:0;width:15;height:15" filled="true" fillcolor="#000000" stroked="false">
              <v:fill type="solid"/>
            </v:rect>
            <v:rect style="position:absolute;left:1642;top:0;width:15;height:15" filled="true" fillcolor="#000000" stroked="false">
              <v:fill type="solid"/>
            </v:rect>
            <v:rect style="position:absolute;left:1670;top:0;width:15;height:15" filled="true" fillcolor="#000000" stroked="false">
              <v:fill type="solid"/>
            </v:rect>
            <v:rect style="position:absolute;left:1699;top:0;width:15;height:15" filled="true" fillcolor="#000000" stroked="false">
              <v:fill type="solid"/>
            </v:rect>
            <v:rect style="position:absolute;left:1728;top:0;width:15;height:15" filled="true" fillcolor="#000000" stroked="false">
              <v:fill type="solid"/>
            </v:rect>
            <v:rect style="position:absolute;left:1757;top:0;width:15;height:15" filled="true" fillcolor="#000000" stroked="false">
              <v:fill type="solid"/>
            </v:rect>
            <v:rect style="position:absolute;left:1786;top:0;width:15;height:15" filled="true" fillcolor="#000000" stroked="false">
              <v:fill type="solid"/>
            </v:rect>
            <v:rect style="position:absolute;left:1814;top:0;width:15;height:15" filled="true" fillcolor="#000000" stroked="false">
              <v:fill type="solid"/>
            </v:rect>
            <v:rect style="position:absolute;left:1843;top:0;width:15;height:15" filled="true" fillcolor="#000000" stroked="false">
              <v:fill type="solid"/>
            </v:rect>
            <v:rect style="position:absolute;left:1872;top:0;width:15;height:15" filled="true" fillcolor="#000000" stroked="false">
              <v:fill type="solid"/>
            </v:rect>
            <v:rect style="position:absolute;left:1901;top:0;width:15;height:15" filled="true" fillcolor="#000000" stroked="false">
              <v:fill type="solid"/>
            </v:rect>
            <v:rect style="position:absolute;left:1930;top:0;width:15;height:15" filled="true" fillcolor="#000000" stroked="false">
              <v:fill type="solid"/>
            </v:rect>
            <v:rect style="position:absolute;left:1958;top:0;width:15;height:15" filled="true" fillcolor="#000000" stroked="false">
              <v:fill type="solid"/>
            </v:rect>
            <v:rect style="position:absolute;left:1987;top:0;width:15;height:15" filled="true" fillcolor="#000000" stroked="false">
              <v:fill type="solid"/>
            </v:rect>
            <v:rect style="position:absolute;left:2016;top:0;width:15;height:15" filled="true" fillcolor="#000000" stroked="false">
              <v:fill type="solid"/>
            </v:rect>
            <v:rect style="position:absolute;left:2045;top:0;width:15;height:15" filled="true" fillcolor="#000000" stroked="false">
              <v:fill type="solid"/>
            </v:rect>
            <v:rect style="position:absolute;left:2074;top:0;width:15;height:15" filled="true" fillcolor="#000000" stroked="false">
              <v:fill type="solid"/>
            </v:rect>
            <v:rect style="position:absolute;left:2102;top:0;width:15;height:15" filled="true" fillcolor="#000000" stroked="false">
              <v:fill type="solid"/>
            </v:rect>
            <v:rect style="position:absolute;left:2131;top:0;width:15;height:15" filled="true" fillcolor="#000000" stroked="false">
              <v:fill type="solid"/>
            </v:rect>
            <v:rect style="position:absolute;left:2160;top:0;width:15;height:15" filled="true" fillcolor="#000000" stroked="false">
              <v:fill type="solid"/>
            </v:rect>
            <v:rect style="position:absolute;left:2189;top:0;width:15;height:15" filled="true" fillcolor="#000000" stroked="false">
              <v:fill type="solid"/>
            </v:rect>
            <v:rect style="position:absolute;left:2218;top:0;width:15;height:15" filled="true" fillcolor="#000000" stroked="false">
              <v:fill type="solid"/>
            </v:rect>
            <v:rect style="position:absolute;left:2246;top:0;width:15;height:15" filled="true" fillcolor="#000000" stroked="false">
              <v:fill type="solid"/>
            </v:rect>
            <v:rect style="position:absolute;left:2275;top:0;width:15;height:15" filled="true" fillcolor="#000000" stroked="false">
              <v:fill type="solid"/>
            </v:rect>
            <v:rect style="position:absolute;left:2304;top:0;width:15;height:15" filled="true" fillcolor="#000000" stroked="false">
              <v:fill type="solid"/>
            </v:rect>
            <v:rect style="position:absolute;left:2333;top:0;width:15;height:15" filled="true" fillcolor="#000000" stroked="false">
              <v:fill type="solid"/>
            </v:rect>
            <v:rect style="position:absolute;left:2362;top:0;width:15;height:15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18pt;height:.75pt;mso-position-horizontal-relative:char;mso-position-vertical-relative:line" coordorigin="0,0" coordsize="2360,15">
            <v:rect style="position:absolute;left:0;top:0;width:3;height:15" filled="true" fillcolor="#000000" stroked="false">
              <v:fill type="solid"/>
            </v:rect>
            <v:rect style="position:absolute;left:16;top:0;width:15;height:15" filled="true" fillcolor="#000000" stroked="false">
              <v:fill type="solid"/>
            </v:rect>
            <v:rect style="position:absolute;left:45;top:0;width:15;height:15" filled="true" fillcolor="#000000" stroked="false">
              <v:fill type="solid"/>
            </v:rect>
            <v:rect style="position:absolute;left:74;top:0;width:15;height:15" filled="true" fillcolor="#000000" stroked="false">
              <v:fill type="solid"/>
            </v:rect>
            <v:rect style="position:absolute;left:103;top:0;width:15;height:15" filled="true" fillcolor="#000000" stroked="false">
              <v:fill type="solid"/>
            </v:rect>
            <v:rect style="position:absolute;left:132;top:0;width:15;height:15" filled="true" fillcolor="#000000" stroked="false">
              <v:fill type="solid"/>
            </v:rect>
            <v:rect style="position:absolute;left:160;top:0;width:15;height:15" filled="true" fillcolor="#000000" stroked="false">
              <v:fill type="solid"/>
            </v:rect>
            <v:rect style="position:absolute;left:189;top:0;width:15;height:15" filled="true" fillcolor="#000000" stroked="false">
              <v:fill type="solid"/>
            </v:rect>
            <v:rect style="position:absolute;left:218;top:0;width:15;height:15" filled="true" fillcolor="#000000" stroked="false">
              <v:fill type="solid"/>
            </v:rect>
            <v:rect style="position:absolute;left:247;top:0;width:15;height:15" filled="true" fillcolor="#000000" stroked="false">
              <v:fill type="solid"/>
            </v:rect>
            <v:rect style="position:absolute;left:276;top:0;width:15;height:15" filled="true" fillcolor="#000000" stroked="false">
              <v:fill type="solid"/>
            </v:rect>
            <v:rect style="position:absolute;left:304;top:0;width:15;height:15" filled="true" fillcolor="#000000" stroked="false">
              <v:fill type="solid"/>
            </v:rect>
            <v:rect style="position:absolute;left:333;top:0;width:15;height:15" filled="true" fillcolor="#000000" stroked="false">
              <v:fill type="solid"/>
            </v:rect>
            <v:rect style="position:absolute;left:362;top:0;width:15;height:15" filled="true" fillcolor="#000000" stroked="false">
              <v:fill type="solid"/>
            </v:rect>
            <v:rect style="position:absolute;left:391;top:0;width:15;height:15" filled="true" fillcolor="#000000" stroked="false">
              <v:fill type="solid"/>
            </v:rect>
            <v:rect style="position:absolute;left:420;top:0;width:15;height:15" filled="true" fillcolor="#000000" stroked="false">
              <v:fill type="solid"/>
            </v:rect>
            <v:rect style="position:absolute;left:448;top:0;width:15;height:15" filled="true" fillcolor="#000000" stroked="false">
              <v:fill type="solid"/>
            </v:rect>
            <v:rect style="position:absolute;left:477;top:0;width:15;height:15" filled="true" fillcolor="#000000" stroked="false">
              <v:fill type="solid"/>
            </v:rect>
            <v:rect style="position:absolute;left:506;top:0;width:15;height:15" filled="true" fillcolor="#000000" stroked="false">
              <v:fill type="solid"/>
            </v:rect>
            <v:rect style="position:absolute;left:535;top:0;width:15;height:15" filled="true" fillcolor="#000000" stroked="false">
              <v:fill type="solid"/>
            </v:rect>
            <v:rect style="position:absolute;left:564;top:0;width:15;height:15" filled="true" fillcolor="#000000" stroked="false">
              <v:fill type="solid"/>
            </v:rect>
            <v:rect style="position:absolute;left:592;top:0;width:15;height:15" filled="true" fillcolor="#000000" stroked="false">
              <v:fill type="solid"/>
            </v:rect>
            <v:rect style="position:absolute;left:621;top:0;width:15;height:15" filled="true" fillcolor="#000000" stroked="false">
              <v:fill type="solid"/>
            </v:rect>
            <v:rect style="position:absolute;left:650;top:0;width:15;height:15" filled="true" fillcolor="#000000" stroked="false">
              <v:fill type="solid"/>
            </v:rect>
            <v:rect style="position:absolute;left:679;top:0;width:15;height:15" filled="true" fillcolor="#000000" stroked="false">
              <v:fill type="solid"/>
            </v:rect>
            <v:rect style="position:absolute;left:708;top:0;width:15;height:15" filled="true" fillcolor="#000000" stroked="false">
              <v:fill type="solid"/>
            </v:rect>
            <v:rect style="position:absolute;left:736;top:0;width:15;height:15" filled="true" fillcolor="#000000" stroked="false">
              <v:fill type="solid"/>
            </v:rect>
            <v:rect style="position:absolute;left:765;top:0;width:15;height:15" filled="true" fillcolor="#000000" stroked="false">
              <v:fill type="solid"/>
            </v:rect>
            <v:rect style="position:absolute;left:794;top:0;width:15;height:15" filled="true" fillcolor="#000000" stroked="false">
              <v:fill type="solid"/>
            </v:rect>
            <v:rect style="position:absolute;left:823;top:0;width:15;height:15" filled="true" fillcolor="#000000" stroked="false">
              <v:fill type="solid"/>
            </v:rect>
            <v:rect style="position:absolute;left:852;top:0;width:15;height:15" filled="true" fillcolor="#000000" stroked="false">
              <v:fill type="solid"/>
            </v:rect>
            <v:rect style="position:absolute;left:881;top:0;width:15;height:15" filled="true" fillcolor="#000000" stroked="false">
              <v:fill type="solid"/>
            </v:rect>
            <v:rect style="position:absolute;left:910;top:0;width:15;height:15" filled="true" fillcolor="#000000" stroked="false">
              <v:fill type="solid"/>
            </v:rect>
            <v:rect style="position:absolute;left:939;top:0;width:15;height:15" filled="true" fillcolor="#000000" stroked="false">
              <v:fill type="solid"/>
            </v:rect>
            <v:rect style="position:absolute;left:967;top:0;width:15;height:15" filled="true" fillcolor="#000000" stroked="false">
              <v:fill type="solid"/>
            </v:rect>
            <v:rect style="position:absolute;left:996;top:0;width:15;height:15" filled="true" fillcolor="#000000" stroked="false">
              <v:fill type="solid"/>
            </v:rect>
            <v:rect style="position:absolute;left:1025;top:0;width:15;height:15" filled="true" fillcolor="#000000" stroked="false">
              <v:fill type="solid"/>
            </v:rect>
            <v:rect style="position:absolute;left:1054;top:0;width:15;height:15" filled="true" fillcolor="#000000" stroked="false">
              <v:fill type="solid"/>
            </v:rect>
            <v:rect style="position:absolute;left:1083;top:0;width:15;height:15" filled="true" fillcolor="#000000" stroked="false">
              <v:fill type="solid"/>
            </v:rect>
            <v:rect style="position:absolute;left:1111;top:0;width:15;height:15" filled="true" fillcolor="#000000" stroked="false">
              <v:fill type="solid"/>
            </v:rect>
            <v:rect style="position:absolute;left:1140;top:0;width:15;height:15" filled="true" fillcolor="#000000" stroked="false">
              <v:fill type="solid"/>
            </v:rect>
            <v:rect style="position:absolute;left:1169;top:0;width:15;height:15" filled="true" fillcolor="#000000" stroked="false">
              <v:fill type="solid"/>
            </v:rect>
            <v:rect style="position:absolute;left:1198;top:0;width:15;height:15" filled="true" fillcolor="#000000" stroked="false">
              <v:fill type="solid"/>
            </v:rect>
            <v:rect style="position:absolute;left:1227;top:0;width:15;height:15" filled="true" fillcolor="#000000" stroked="false">
              <v:fill type="solid"/>
            </v:rect>
            <v:rect style="position:absolute;left:1255;top:0;width:15;height:15" filled="true" fillcolor="#000000" stroked="false">
              <v:fill type="solid"/>
            </v:rect>
            <v:rect style="position:absolute;left:1284;top:0;width:15;height:15" filled="true" fillcolor="#000000" stroked="false">
              <v:fill type="solid"/>
            </v:rect>
            <v:rect style="position:absolute;left:1313;top:0;width:15;height:15" filled="true" fillcolor="#000000" stroked="false">
              <v:fill type="solid"/>
            </v:rect>
            <v:rect style="position:absolute;left:1342;top:0;width:15;height:15" filled="true" fillcolor="#000000" stroked="false">
              <v:fill type="solid"/>
            </v:rect>
            <v:rect style="position:absolute;left:1371;top:0;width:15;height:15" filled="true" fillcolor="#000000" stroked="false">
              <v:fill type="solid"/>
            </v:rect>
            <v:rect style="position:absolute;left:1399;top:0;width:15;height:15" filled="true" fillcolor="#000000" stroked="false">
              <v:fill type="solid"/>
            </v:rect>
            <v:rect style="position:absolute;left:1428;top:0;width:15;height:15" filled="true" fillcolor="#000000" stroked="false">
              <v:fill type="solid"/>
            </v:rect>
            <v:rect style="position:absolute;left:1457;top:0;width:15;height:15" filled="true" fillcolor="#000000" stroked="false">
              <v:fill type="solid"/>
            </v:rect>
            <v:rect style="position:absolute;left:1486;top:0;width:15;height:15" filled="true" fillcolor="#000000" stroked="false">
              <v:fill type="solid"/>
            </v:rect>
            <v:rect style="position:absolute;left:1515;top:0;width:15;height:15" filled="true" fillcolor="#000000" stroked="false">
              <v:fill type="solid"/>
            </v:rect>
            <v:rect style="position:absolute;left:1543;top:0;width:15;height:15" filled="true" fillcolor="#000000" stroked="false">
              <v:fill type="solid"/>
            </v:rect>
            <v:rect style="position:absolute;left:1572;top:0;width:15;height:15" filled="true" fillcolor="#000000" stroked="false">
              <v:fill type="solid"/>
            </v:rect>
            <v:rect style="position:absolute;left:1601;top:0;width:15;height:15" filled="true" fillcolor="#000000" stroked="false">
              <v:fill type="solid"/>
            </v:rect>
            <v:rect style="position:absolute;left:1630;top:0;width:15;height:15" filled="true" fillcolor="#000000" stroked="false">
              <v:fill type="solid"/>
            </v:rect>
            <v:rect style="position:absolute;left:1659;top:0;width:15;height:15" filled="true" fillcolor="#000000" stroked="false">
              <v:fill type="solid"/>
            </v:rect>
            <v:rect style="position:absolute;left:1687;top:0;width:15;height:15" filled="true" fillcolor="#000000" stroked="false">
              <v:fill type="solid"/>
            </v:rect>
            <v:rect style="position:absolute;left:1716;top:0;width:15;height:15" filled="true" fillcolor="#000000" stroked="false">
              <v:fill type="solid"/>
            </v:rect>
            <v:rect style="position:absolute;left:1745;top:0;width:15;height:15" filled="true" fillcolor="#000000" stroked="false">
              <v:fill type="solid"/>
            </v:rect>
            <v:rect style="position:absolute;left:1774;top:0;width:15;height:15" filled="true" fillcolor="#000000" stroked="false">
              <v:fill type="solid"/>
            </v:rect>
            <v:rect style="position:absolute;left:1803;top:0;width:15;height:15" filled="true" fillcolor="#000000" stroked="false">
              <v:fill type="solid"/>
            </v:rect>
            <v:rect style="position:absolute;left:1831;top:0;width:15;height:15" filled="true" fillcolor="#000000" stroked="false">
              <v:fill type="solid"/>
            </v:rect>
            <v:rect style="position:absolute;left:1860;top:0;width:15;height:15" filled="true" fillcolor="#000000" stroked="false">
              <v:fill type="solid"/>
            </v:rect>
            <v:rect style="position:absolute;left:1889;top:0;width:15;height:15" filled="true" fillcolor="#000000" stroked="false">
              <v:fill type="solid"/>
            </v:rect>
            <v:rect style="position:absolute;left:1918;top:0;width:15;height:15" filled="true" fillcolor="#000000" stroked="false">
              <v:fill type="solid"/>
            </v:rect>
            <v:rect style="position:absolute;left:1947;top:0;width:15;height:15" filled="true" fillcolor="#000000" stroked="false">
              <v:fill type="solid"/>
            </v:rect>
            <v:rect style="position:absolute;left:1975;top:0;width:15;height:15" filled="true" fillcolor="#000000" stroked="false">
              <v:fill type="solid"/>
            </v:rect>
            <v:rect style="position:absolute;left:2004;top:0;width:15;height:15" filled="true" fillcolor="#000000" stroked="false">
              <v:fill type="solid"/>
            </v:rect>
            <v:rect style="position:absolute;left:2033;top:0;width:15;height:15" filled="true" fillcolor="#000000" stroked="false">
              <v:fill type="solid"/>
            </v:rect>
            <v:rect style="position:absolute;left:2062;top:0;width:15;height:15" filled="true" fillcolor="#000000" stroked="false">
              <v:fill type="solid"/>
            </v:rect>
            <v:rect style="position:absolute;left:2091;top:0;width:15;height:15" filled="true" fillcolor="#000000" stroked="false">
              <v:fill type="solid"/>
            </v:rect>
            <v:rect style="position:absolute;left:2119;top:0;width:15;height:15" filled="true" fillcolor="#000000" stroked="false">
              <v:fill type="solid"/>
            </v:rect>
            <v:rect style="position:absolute;left:2148;top:0;width:15;height:15" filled="true" fillcolor="#000000" stroked="false">
              <v:fill type="solid"/>
            </v:rect>
            <v:rect style="position:absolute;left:2177;top:0;width:15;height:15" filled="true" fillcolor="#000000" stroked="false">
              <v:fill type="solid"/>
            </v:rect>
            <v:rect style="position:absolute;left:2206;top:0;width:15;height:15" filled="true" fillcolor="#000000" stroked="false">
              <v:fill type="solid"/>
            </v:rect>
            <v:rect style="position:absolute;left:2235;top:0;width:15;height:15" filled="true" fillcolor="#000000" stroked="false">
              <v:fill type="solid"/>
            </v:rect>
            <v:rect style="position:absolute;left:2263;top:0;width:15;height:15" filled="true" fillcolor="#000000" stroked="false">
              <v:fill type="solid"/>
            </v:rect>
            <v:rect style="position:absolute;left:2292;top:0;width:15;height:15" filled="true" fillcolor="#000000" stroked="false">
              <v:fill type="solid"/>
            </v:rect>
            <v:rect style="position:absolute;left:2321;top:0;width:15;height:15" filled="true" fillcolor="#000000" stroked="false">
              <v:fill type="solid"/>
            </v:rect>
            <v:rect style="position:absolute;left:2350;top:0;width:10;height:15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18.85pt;height:.75pt;mso-position-horizontal-relative:char;mso-position-vertical-relative:line" coordorigin="0,0" coordsize="2377,15">
            <v:line style="position:absolute" from="0,7" to="2377,7" stroked="true" strokeweight=".7200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17.4pt;height:.75pt;mso-position-horizontal-relative:char;mso-position-vertical-relative:line" coordorigin="0,0" coordsize="2348,15">
            <v:rect style="position:absolute;left:0;top:0;width:15;height:15" filled="true" fillcolor="#000000" stroked="false">
              <v:fill type="solid"/>
            </v:rect>
            <v:rect style="position:absolute;left:28;top:0;width:15;height:15" filled="true" fillcolor="#000000" stroked="false">
              <v:fill type="solid"/>
            </v:rect>
            <v:rect style="position:absolute;left:57;top:0;width:15;height:15" filled="true" fillcolor="#000000" stroked="false">
              <v:fill type="solid"/>
            </v:rect>
            <v:rect style="position:absolute;left:86;top:0;width:15;height:15" filled="true" fillcolor="#000000" stroked="false">
              <v:fill type="solid"/>
            </v:rect>
            <v:rect style="position:absolute;left:115;top:0;width:15;height:15" filled="true" fillcolor="#000000" stroked="false">
              <v:fill type="solid"/>
            </v:rect>
            <v:rect style="position:absolute;left:144;top:0;width:15;height:15" filled="true" fillcolor="#000000" stroked="false">
              <v:fill type="solid"/>
            </v:rect>
            <v:rect style="position:absolute;left:172;top:0;width:15;height:15" filled="true" fillcolor="#000000" stroked="false">
              <v:fill type="solid"/>
            </v:rect>
            <v:rect style="position:absolute;left:201;top:0;width:15;height:15" filled="true" fillcolor="#000000" stroked="false">
              <v:fill type="solid"/>
            </v:rect>
            <v:rect style="position:absolute;left:230;top:0;width:15;height:15" filled="true" fillcolor="#000000" stroked="false">
              <v:fill type="solid"/>
            </v:rect>
            <v:rect style="position:absolute;left:259;top:0;width:15;height:15" filled="true" fillcolor="#000000" stroked="false">
              <v:fill type="solid"/>
            </v:rect>
            <v:rect style="position:absolute;left:288;top:0;width:15;height:15" filled="true" fillcolor="#000000" stroked="false">
              <v:fill type="solid"/>
            </v:rect>
            <v:rect style="position:absolute;left:316;top:0;width:15;height:15" filled="true" fillcolor="#000000" stroked="false">
              <v:fill type="solid"/>
            </v:rect>
            <v:rect style="position:absolute;left:345;top:0;width:15;height:15" filled="true" fillcolor="#000000" stroked="false">
              <v:fill type="solid"/>
            </v:rect>
            <v:rect style="position:absolute;left:374;top:0;width:15;height:15" filled="true" fillcolor="#000000" stroked="false">
              <v:fill type="solid"/>
            </v:rect>
            <v:rect style="position:absolute;left:403;top:0;width:15;height:15" filled="true" fillcolor="#000000" stroked="false">
              <v:fill type="solid"/>
            </v:rect>
            <v:rect style="position:absolute;left:432;top:0;width:15;height:15" filled="true" fillcolor="#000000" stroked="false">
              <v:fill type="solid"/>
            </v:rect>
            <v:rect style="position:absolute;left:460;top:0;width:15;height:15" filled="true" fillcolor="#000000" stroked="false">
              <v:fill type="solid"/>
            </v:rect>
            <v:rect style="position:absolute;left:489;top:0;width:15;height:15" filled="true" fillcolor="#000000" stroked="false">
              <v:fill type="solid"/>
            </v:rect>
            <v:rect style="position:absolute;left:518;top:0;width:15;height:15" filled="true" fillcolor="#000000" stroked="false">
              <v:fill type="solid"/>
            </v:rect>
            <v:rect style="position:absolute;left:547;top:0;width:15;height:15" filled="true" fillcolor="#000000" stroked="false">
              <v:fill type="solid"/>
            </v:rect>
            <v:rect style="position:absolute;left:576;top:0;width:15;height:15" filled="true" fillcolor="#000000" stroked="false">
              <v:fill type="solid"/>
            </v:rect>
            <v:rect style="position:absolute;left:604;top:0;width:15;height:15" filled="true" fillcolor="#000000" stroked="false">
              <v:fill type="solid"/>
            </v:rect>
            <v:rect style="position:absolute;left:633;top:0;width:15;height:15" filled="true" fillcolor="#000000" stroked="false">
              <v:fill type="solid"/>
            </v:rect>
            <v:rect style="position:absolute;left:662;top:0;width:15;height:15" filled="true" fillcolor="#000000" stroked="false">
              <v:fill type="solid"/>
            </v:rect>
            <v:rect style="position:absolute;left:691;top:0;width:15;height:15" filled="true" fillcolor="#000000" stroked="false">
              <v:fill type="solid"/>
            </v:rect>
            <v:rect style="position:absolute;left:720;top:0;width:15;height:15" filled="true" fillcolor="#000000" stroked="false">
              <v:fill type="solid"/>
            </v:rect>
            <v:rect style="position:absolute;left:748;top:0;width:15;height:15" filled="true" fillcolor="#000000" stroked="false">
              <v:fill type="solid"/>
            </v:rect>
            <v:rect style="position:absolute;left:777;top:0;width:15;height:15" filled="true" fillcolor="#000000" stroked="false">
              <v:fill type="solid"/>
            </v:rect>
            <v:rect style="position:absolute;left:806;top:0;width:15;height:15" filled="true" fillcolor="#000000" stroked="false">
              <v:fill type="solid"/>
            </v:rect>
            <v:rect style="position:absolute;left:835;top:0;width:15;height:15" filled="true" fillcolor="#000000" stroked="false">
              <v:fill type="solid"/>
            </v:rect>
            <v:rect style="position:absolute;left:864;top:0;width:15;height:15" filled="true" fillcolor="#000000" stroked="false">
              <v:fill type="solid"/>
            </v:rect>
            <v:rect style="position:absolute;left:892;top:0;width:15;height:15" filled="true" fillcolor="#000000" stroked="false">
              <v:fill type="solid"/>
            </v:rect>
            <v:rect style="position:absolute;left:921;top:0;width:15;height:15" filled="true" fillcolor="#000000" stroked="false">
              <v:fill type="solid"/>
            </v:rect>
            <v:rect style="position:absolute;left:950;top:0;width:15;height:15" filled="true" fillcolor="#000000" stroked="false">
              <v:fill type="solid"/>
            </v:rect>
            <v:rect style="position:absolute;left:979;top:0;width:15;height:15" filled="true" fillcolor="#000000" stroked="false">
              <v:fill type="solid"/>
            </v:rect>
            <v:rect style="position:absolute;left:1008;top:0;width:15;height:15" filled="true" fillcolor="#000000" stroked="false">
              <v:fill type="solid"/>
            </v:rect>
            <v:rect style="position:absolute;left:1036;top:0;width:15;height:15" filled="true" fillcolor="#000000" stroked="false">
              <v:fill type="solid"/>
            </v:rect>
            <v:rect style="position:absolute;left:1065;top:0;width:15;height:15" filled="true" fillcolor="#000000" stroked="false">
              <v:fill type="solid"/>
            </v:rect>
            <v:rect style="position:absolute;left:1094;top:0;width:15;height:15" filled="true" fillcolor="#000000" stroked="false">
              <v:fill type="solid"/>
            </v:rect>
            <v:rect style="position:absolute;left:1123;top:0;width:15;height:15" filled="true" fillcolor="#000000" stroked="false">
              <v:fill type="solid"/>
            </v:rect>
            <v:rect style="position:absolute;left:1152;top:0;width:15;height:15" filled="true" fillcolor="#000000" stroked="false">
              <v:fill type="solid"/>
            </v:rect>
            <v:rect style="position:absolute;left:1180;top:0;width:15;height:15" filled="true" fillcolor="#000000" stroked="false">
              <v:fill type="solid"/>
            </v:rect>
            <v:rect style="position:absolute;left:1209;top:0;width:15;height:15" filled="true" fillcolor="#000000" stroked="false">
              <v:fill type="solid"/>
            </v:rect>
            <v:rect style="position:absolute;left:1238;top:0;width:15;height:15" filled="true" fillcolor="#000000" stroked="false">
              <v:fill type="solid"/>
            </v:rect>
            <v:rect style="position:absolute;left:1267;top:0;width:15;height:15" filled="true" fillcolor="#000000" stroked="false">
              <v:fill type="solid"/>
            </v:rect>
            <v:rect style="position:absolute;left:1296;top:0;width:15;height:15" filled="true" fillcolor="#000000" stroked="false">
              <v:fill type="solid"/>
            </v:rect>
            <v:rect style="position:absolute;left:1324;top:0;width:15;height:15" filled="true" fillcolor="#000000" stroked="false">
              <v:fill type="solid"/>
            </v:rect>
            <v:rect style="position:absolute;left:1353;top:0;width:15;height:15" filled="true" fillcolor="#000000" stroked="false">
              <v:fill type="solid"/>
            </v:rect>
            <v:rect style="position:absolute;left:1382;top:0;width:15;height:15" filled="true" fillcolor="#000000" stroked="false">
              <v:fill type="solid"/>
            </v:rect>
            <v:rect style="position:absolute;left:1411;top:0;width:15;height:15" filled="true" fillcolor="#000000" stroked="false">
              <v:fill type="solid"/>
            </v:rect>
            <v:rect style="position:absolute;left:1440;top:0;width:15;height:15" filled="true" fillcolor="#000000" stroked="false">
              <v:fill type="solid"/>
            </v:rect>
            <v:rect style="position:absolute;left:1468;top:0;width:15;height:15" filled="true" fillcolor="#000000" stroked="false">
              <v:fill type="solid"/>
            </v:rect>
            <v:rect style="position:absolute;left:1497;top:0;width:15;height:15" filled="true" fillcolor="#000000" stroked="false">
              <v:fill type="solid"/>
            </v:rect>
            <v:rect style="position:absolute;left:1526;top:0;width:15;height:15" filled="true" fillcolor="#000000" stroked="false">
              <v:fill type="solid"/>
            </v:rect>
            <v:rect style="position:absolute;left:1555;top:0;width:15;height:15" filled="true" fillcolor="#000000" stroked="false">
              <v:fill type="solid"/>
            </v:rect>
            <v:rect style="position:absolute;left:1584;top:0;width:15;height:15" filled="true" fillcolor="#000000" stroked="false">
              <v:fill type="solid"/>
            </v:rect>
            <v:rect style="position:absolute;left:1612;top:0;width:15;height:15" filled="true" fillcolor="#000000" stroked="false">
              <v:fill type="solid"/>
            </v:rect>
            <v:rect style="position:absolute;left:1641;top:0;width:15;height:15" filled="true" fillcolor="#000000" stroked="false">
              <v:fill type="solid"/>
            </v:rect>
            <v:rect style="position:absolute;left:1670;top:0;width:15;height:15" filled="true" fillcolor="#000000" stroked="false">
              <v:fill type="solid"/>
            </v:rect>
            <v:rect style="position:absolute;left:1699;top:0;width:15;height:15" filled="true" fillcolor="#000000" stroked="false">
              <v:fill type="solid"/>
            </v:rect>
            <v:rect style="position:absolute;left:1728;top:0;width:15;height:15" filled="true" fillcolor="#000000" stroked="false">
              <v:fill type="solid"/>
            </v:rect>
            <v:rect style="position:absolute;left:1756;top:0;width:15;height:15" filled="true" fillcolor="#000000" stroked="false">
              <v:fill type="solid"/>
            </v:rect>
            <v:rect style="position:absolute;left:1786;top:0;width:15;height:15" filled="true" fillcolor="#000000" stroked="false">
              <v:fill type="solid"/>
            </v:rect>
            <v:rect style="position:absolute;left:1814;top:0;width:15;height:15" filled="true" fillcolor="#000000" stroked="false">
              <v:fill type="solid"/>
            </v:rect>
            <v:rect style="position:absolute;left:1843;top:0;width:15;height:15" filled="true" fillcolor="#000000" stroked="false">
              <v:fill type="solid"/>
            </v:rect>
            <v:rect style="position:absolute;left:1872;top:0;width:15;height:15" filled="true" fillcolor="#000000" stroked="false">
              <v:fill type="solid"/>
            </v:rect>
            <v:rect style="position:absolute;left:1901;top:0;width:15;height:15" filled="true" fillcolor="#000000" stroked="false">
              <v:fill type="solid"/>
            </v:rect>
            <v:rect style="position:absolute;left:1930;top:0;width:15;height:15" filled="true" fillcolor="#000000" stroked="false">
              <v:fill type="solid"/>
            </v:rect>
            <v:rect style="position:absolute;left:1958;top:0;width:15;height:15" filled="true" fillcolor="#000000" stroked="false">
              <v:fill type="solid"/>
            </v:rect>
            <v:rect style="position:absolute;left:1987;top:0;width:15;height:15" filled="true" fillcolor="#000000" stroked="false">
              <v:fill type="solid"/>
            </v:rect>
            <v:rect style="position:absolute;left:2016;top:0;width:15;height:15" filled="true" fillcolor="#000000" stroked="false">
              <v:fill type="solid"/>
            </v:rect>
            <v:rect style="position:absolute;left:2045;top:0;width:15;height:15" filled="true" fillcolor="#000000" stroked="false">
              <v:fill type="solid"/>
            </v:rect>
            <v:rect style="position:absolute;left:2074;top:0;width:15;height:15" filled="true" fillcolor="#000000" stroked="false">
              <v:fill type="solid"/>
            </v:rect>
            <v:rect style="position:absolute;left:2102;top:0;width:15;height:15" filled="true" fillcolor="#000000" stroked="false">
              <v:fill type="solid"/>
            </v:rect>
            <v:rect style="position:absolute;left:2131;top:0;width:15;height:15" filled="true" fillcolor="#000000" stroked="false">
              <v:fill type="solid"/>
            </v:rect>
            <v:rect style="position:absolute;left:2160;top:0;width:15;height:15" filled="true" fillcolor="#000000" stroked="false">
              <v:fill type="solid"/>
            </v:rect>
            <v:rect style="position:absolute;left:2189;top:0;width:15;height:15" filled="true" fillcolor="#000000" stroked="false">
              <v:fill type="solid"/>
            </v:rect>
            <v:rect style="position:absolute;left:2218;top:0;width:15;height:15" filled="true" fillcolor="#000000" stroked="false">
              <v:fill type="solid"/>
            </v:rect>
            <v:rect style="position:absolute;left:2246;top:0;width:15;height:15" filled="true" fillcolor="#000000" stroked="false">
              <v:fill type="solid"/>
            </v:rect>
            <v:rect style="position:absolute;left:2275;top:0;width:15;height:15" filled="true" fillcolor="#000000" stroked="false">
              <v:fill type="solid"/>
            </v:rect>
            <v:rect style="position:absolute;left:2304;top:0;width:15;height:15" filled="true" fillcolor="#000000" stroked="false">
              <v:fill type="solid"/>
            </v:rect>
            <v:rect style="position:absolute;left:2333;top:0;width:15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20" w:bottom="280" w:left="340" w:right="700"/>
        </w:sectPr>
      </w:pPr>
    </w:p>
    <w:p>
      <w:pPr>
        <w:pStyle w:val="BodyText"/>
        <w:ind w:left="214"/>
      </w:pPr>
      <w:r>
        <w:rPr>
          <w:w w:val="105"/>
        </w:rPr>
        <w:t>PREFEITO</w:t>
      </w:r>
    </w:p>
    <w:p>
      <w:pPr>
        <w:pStyle w:val="BodyText"/>
        <w:spacing w:line="273" w:lineRule="auto" w:before="17"/>
        <w:ind w:left="214" w:right="-12"/>
      </w:pPr>
      <w:r>
        <w:rPr>
          <w:w w:val="105"/>
        </w:rPr>
        <w:t>JOEL SANTOS SUBDA CPF 004.763.250-05</w:t>
      </w:r>
    </w:p>
    <w:p>
      <w:pPr>
        <w:pStyle w:val="BodyText"/>
        <w:spacing w:line="273" w:lineRule="auto"/>
        <w:ind w:left="214"/>
      </w:pPr>
      <w:r>
        <w:rPr/>
        <w:br w:type="column"/>
      </w:r>
      <w:r>
        <w:rPr>
          <w:w w:val="105"/>
        </w:rPr>
        <w:t>RESPONSÁVEL PELA FAZENDA </w:t>
      </w:r>
      <w:r>
        <w:rPr/>
        <w:t>PALOMA BIERHALS VENZKE SILVEIRA </w:t>
      </w:r>
      <w:r>
        <w:rPr>
          <w:w w:val="105"/>
        </w:rPr>
        <w:t>CPF 033.231.730-74</w:t>
      </w:r>
    </w:p>
    <w:p>
      <w:pPr>
        <w:pStyle w:val="BodyText"/>
        <w:spacing w:line="273" w:lineRule="auto"/>
        <w:ind w:left="214" w:right="-7"/>
      </w:pPr>
      <w:r>
        <w:rPr/>
        <w:br w:type="column"/>
      </w:r>
      <w:r>
        <w:rPr>
          <w:w w:val="105"/>
        </w:rPr>
        <w:t>Tecnico em Contab. - Contador MAURO SÉRGIO ROCHA DA </w:t>
      </w:r>
      <w:r>
        <w:rPr>
          <w:spacing w:val="-5"/>
          <w:w w:val="105"/>
        </w:rPr>
        <w:t>SILVA </w:t>
      </w:r>
      <w:r>
        <w:rPr>
          <w:w w:val="105"/>
        </w:rPr>
        <w:t>058.342/RS</w:t>
      </w:r>
    </w:p>
    <w:p>
      <w:pPr>
        <w:pStyle w:val="BodyText"/>
        <w:spacing w:line="273" w:lineRule="auto"/>
        <w:ind w:left="214" w:right="305"/>
      </w:pPr>
      <w:r>
        <w:rPr/>
        <w:br w:type="column"/>
      </w:r>
      <w:r>
        <w:rPr>
          <w:w w:val="105"/>
        </w:rPr>
        <w:t>Responsável pelo Controle Interno VANESSA HOLZ WASKOW ABDALA CPF 019.193.760-62</w:t>
      </w:r>
    </w:p>
    <w:sectPr>
      <w:type w:val="continuous"/>
      <w:pgSz w:w="11910" w:h="16840"/>
      <w:pgMar w:top="520" w:bottom="280" w:left="340" w:right="700"/>
      <w:cols w:num="4" w:equalWidth="0">
        <w:col w:w="1448" w:space="1329"/>
        <w:col w:w="2317" w:space="436"/>
        <w:col w:w="2115" w:space="550"/>
        <w:col w:w="26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2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huvisca.rs.gov.br/contas_publicas.ph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2020-09-30T19:57:23Z</dcterms:created>
  <dcterms:modified xsi:type="dcterms:W3CDTF">2020-09-30T19:57:23Z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2020-09-30T00:00:00Z</vt:filetime>
  </property>
</Properties>
</file>