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40"/>
        <w:gridCol w:w="20"/>
        <w:gridCol w:w="600"/>
        <w:gridCol w:w="1160"/>
        <w:gridCol w:w="220"/>
        <w:gridCol w:w="1560"/>
        <w:gridCol w:w="660"/>
        <w:gridCol w:w="600"/>
        <w:gridCol w:w="520"/>
        <w:gridCol w:w="1780"/>
        <w:gridCol w:w="1300"/>
        <w:gridCol w:w="440"/>
        <w:gridCol w:w="40"/>
        <w:gridCol w:w="1780"/>
        <w:gridCol w:w="98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08977544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89775440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DE ALIENAÇÃO DE ATIVOS E APLICAÇÃO DOS RECURSOS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OUTUBRO de 2021 / BIMESTRE SETEMBRO - OUTUBRO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11 (LRF, art 53, inciso III)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8900"/>
              <w:gridCol w:w="178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ALIENAÇÃO DE ATIVOS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208.453,84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-208.447,84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 de Alienação de Bens Móveis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208.453,84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-208.447,84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 de Alienação de Bens Imóveis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 de Alienação de Bens Intangíveis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 de Rendimentos de Aplicações Financeiras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1780"/>
              <w:gridCol w:w="1780"/>
              <w:gridCol w:w="1780"/>
              <w:gridCol w:w="1780"/>
              <w:gridCol w:w="1780"/>
              <w:gridCol w:w="178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INSCRITAS EM RESTOS A PAGAR NÃO PROCESSADOS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PAGAMENTO DE</w:t>
                    <w:br/>
                    <w:t xml:space="preserve">RESTOS A PAGAR</w:t>
                    <w:br/>
                    <w:t xml:space="preserve">(g)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(h)=(d-e)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APLICAÇÃO DOS RECURSOS DA ALIENAÇÃO DE ATIVOS (II)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Investimentos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Inversões Financeiras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Amortização da Dívida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Despesas Correntes dos Regimes de Previdência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Regime Próprio dos Servidores Públicos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8900"/>
              <w:gridCol w:w="178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FINANCEIRO A APLICAR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2020</w:t>
                    <w:br/>
                    <w:t xml:space="preserve"> (i)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2021</w:t>
                    <w:br/>
                    <w:t xml:space="preserve"> (j) = (Ib – (IIf+ IIg))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 ATUAL</w:t>
                    <w:br/>
                    <w:t xml:space="preserve">(k ) = (IIIi  + IIIj)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VALOR (III)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208.453,84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208.453,84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22/11/2021 E HORA DA EMISSÃO 08:58:20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