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8946310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8946310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29.339,02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86.436,24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132.630,80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29.148,10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29.148,10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86.436,24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132.630,80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22.301,56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861.660,08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857.759,24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210,65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25.991,75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63.679,23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4.824,72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4.824,72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58.854,51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84.846,26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573.987,38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609.048,01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10.863,90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28.319,53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23.374,06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23.374,06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15.244,02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316.323,93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315.727,93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467,40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17.381,55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54.358,17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54.119,00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6.870,66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7.570,28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29.339,02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86.436,24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132.630,80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13:45:37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