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1020"/>
        <w:gridCol w:w="168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423438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42343898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 DÍVIDA CONSOLIDADA LÍQUIDA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2021 a JUNHO de 2021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DÍVIDA CONSOLIDADA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(II)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4.914.968,17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4.914.968,17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4.961.184,96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46.216,79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(DCL) (III) = (I - II)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-4.914.968,17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20.445.576,77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20.445.576,77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% da DCL sobre a RCL (III/VI)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-10,14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-24,04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- 120%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22.818.378,65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24.534.692,12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 1º do art. 59 da LRF) - 108%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20.536.540,78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22.081.222,91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1600"/>
              <w:gridCol w:w="1600"/>
              <w:gridCol w:w="16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VALORES NÃO INTEGRANTES DA DC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</w:t>
                    <w:br/>
                    <w:t xml:space="preserve">EXERCÍCIO ANTERIOR</w:t>
                  </w:r>
                </w:p>
              </w:tc>
              <w:tc>
                <w:tcPr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DO EXERCÍCIO DE 2021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1º Semestre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2º Semestre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PRECATÓRIOS POSTERIORES A 05/05/2000 ( Não incluídos DCL )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39.046,10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16.423,88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DEPÓSITOS E CONSIGNAÇÕES SEM CONTRAPARTIDA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44.635,99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6.667,97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RP NÃO-PROCESSADOS</w:t>
            </w:r>
          </w:p>
        </w:tc>
        <w:tc>
          <w:tcPr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116.590,67</w:t>
            </w:r>
          </w:p>
        </w:tc>
        <w:tc>
          <w:tcPr>
            <w:gridSpan w:val="3"/>
            <w:tcBorders>
              <w:lef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86.436,24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15:55:50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