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4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1220253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2202534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DEMONSTRAÇÃO DAS MUTAÇÕES DO PATRIMÔNIO LÍQUIDO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Janeiro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Patrimônio Social</w:t>
                    <w:br/>
                    <w:t xml:space="preserve">Capital Social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Adiant. p/ Futuro</w:t>
                    <w:br/>
                    <w:t xml:space="preserve"> Aumento</w:t>
                    <w:br/>
                    <w:t xml:space="preserve">de 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Reservas</w:t>
                    <w:br/>
                    <w:t xml:space="preserve">de</w:t>
                    <w:br/>
                    <w:t xml:space="preserve">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Ajustes de</w:t>
                    <w:br/>
                    <w:t xml:space="preserve">Avaliação</w:t>
                    <w:br/>
                    <w:t xml:space="preserve">Patrimonial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Reservas</w:t>
                    <w:br/>
                    <w:t xml:space="preserve">de Lucros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Demais</w:t>
                    <w:br/>
                    <w:t xml:space="preserve">Reservas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Resultados</w:t>
                    <w:br/>
                    <w:t xml:space="preserve">Acumulados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Ações/Cotas</w:t>
                    <w:br/>
                    <w:t xml:space="preserve">em Tesouraria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 Inicial Exercício Atual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12.872,65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275.152,20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288.024,85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Ajuste Exercícios Anteriores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Aumento de 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Resultado do Exercício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Constituição/Reversão de Reservas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Dividendos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 Final Exercício Atual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12.872,65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275.152,20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288.024,85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16:00:17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