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49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210392206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0392206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DEMONSTRAÇÃO DAS MUTAÇÕES DO PATRIMÔNIO LÍQUIDO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Janeiro de 2020</w:t>
                    <w:br/>
                    <w:t xml:space="preserve">Entidade: 1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Patrimônio Social</w:t>
                    <w:br/>
                    <w:t xml:space="preserve">Capital Social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Adiant. p/ Futuro</w:t>
                    <w:br/>
                    <w:t xml:space="preserve"> Aumento</w:t>
                    <w:br/>
                    <w:t xml:space="preserve">de Capital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Reservas</w:t>
                    <w:br/>
                    <w:t xml:space="preserve">de</w:t>
                    <w:br/>
                    <w:t xml:space="preserve">Capital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Ajustes de</w:t>
                    <w:br/>
                    <w:t xml:space="preserve">Avaliação</w:t>
                    <w:br/>
                    <w:t xml:space="preserve">Patrimonial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Reservas</w:t>
                    <w:br/>
                    <w:t xml:space="preserve">de Lucros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Demais</w:t>
                    <w:br/>
                    <w:t xml:space="preserve">Reservas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Resultados</w:t>
                    <w:br/>
                    <w:t xml:space="preserve">Acumulados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Ações/Cotas</w:t>
                    <w:br/>
                    <w:t xml:space="preserve">em Tesouraria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Saldo Inicial Exercício Atual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7.029.709,35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5.956.257,09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12.985.966,44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Ajuste Exercícios Anteriores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-689.836,87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-689.836,87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Aumento de Capital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Resultado do Exercício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Constituição/Reversão de Reservas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Dividendos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8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Saldo Final Exercício Atual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7.029.709,35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5.266.420,22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12.296.129,57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15:59:08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">
    <w:name w:val="negrit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|1">
    <w:name w:val="negrito|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