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10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5388626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38862698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PREVIDENCIÁRIAS E DAS RECEITAS E DESPESAS ASSOCIADAS ÀS PENSÕES E INATIVOS MILITARES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CAPITALIZAÇÃO (PLANO PREVIDENCIÁRIO)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Financeira entre os regimes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Aportes Periódicos para Amortização de Déficit Atuarial do RPPS (II)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(III)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CAPITALIZAÇÃO - (IV) = (I + III - 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CAPITALIZAÇÃO (V)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CAPITALIZAÇÃO (VI) = (IV - 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5340"/>
        <w:gridCol w:w="47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RPPS ARRECADADOS EM EXERCÍCIOS ANTERIORES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RESERVA ORÇAMENTÁRIA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CAPITALIZAÇÃO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Contribuição Patronal Suplementar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Aporte Periódico de Valores Predefinidos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Aportes para o RPPS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Déficit Financeiro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DO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REPARTIÇÃO (PLANO FINANCEIRO)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Financeira do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REPARTIÇÃO  (IX) = (VII + 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 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REPARTIÇÃO (X)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REPARTIÇÃO (XI) = (IX - X)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REPARTIÇÃO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Insuficiências Financeiras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Formação de Reserva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DO RPPS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ADMINISTRAÇÃO DO 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DA ADMINISTRAÇÃO RPPS (XII)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Correntes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de Capital (XIV)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DA ADMINISTRAÇÃO RPPS (XV) = (XIII + 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DA ADMINISTRAÇÃO RPPS (XVI) = (XII - XV)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- ADMINISTRAÇÃO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840"/>
        <w:gridCol w:w="160"/>
        <w:gridCol w:w="2040"/>
        <w:gridCol w:w="560"/>
        <w:gridCol w:w="600"/>
        <w:gridCol w:w="1040"/>
        <w:gridCol w:w="1100"/>
        <w:gridCol w:w="1100"/>
        <w:gridCol w:w="360"/>
        <w:gridCol w:w="440"/>
        <w:gridCol w:w="14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BENEFÍCIOS PREVIDENCIÁRIOS MANTIDOS PELO TESOURO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Contribuições dos Servidores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Receitas Previdenciárias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 (BENEFÍCIOS MANTIDOS PELO TESOURO) (XVII)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</w:t>
                    <w:br/>
                    <w:t xml:space="preserve">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(BENEFÍCIOS MANTIDOS PELO TESOURO) (XVIII)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DOS BENEFÍCIOS MANTIDOS PELO TESOURO (XIX) = (XVII - XVIII)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14:24:11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