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4" w:lineRule="auto" w:before="69"/>
        <w:ind w:left="4480" w:right="3914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line="166" w:lineRule="exact" w:before="0"/>
        <w:ind w:left="1551" w:right="1006" w:firstLine="0"/>
        <w:jc w:val="center"/>
        <w:rPr>
          <w:sz w:val="16"/>
        </w:rPr>
      </w:pPr>
      <w:r>
        <w:rPr>
          <w:sz w:val="16"/>
        </w:rPr>
        <w:t>RELATÓRIO RESUMIDO DA EXECUÇÃO ORÇAMENTÁRIA</w:t>
      </w:r>
    </w:p>
    <w:p>
      <w:pPr>
        <w:pStyle w:val="Heading1"/>
        <w:spacing w:line="182" w:lineRule="exact"/>
        <w:ind w:firstLine="0"/>
      </w:pPr>
      <w:r>
        <w:rPr/>
        <w:t>DEMONSTRATIVO</w:t>
      </w:r>
      <w:r>
        <w:rPr>
          <w:spacing w:val="-1"/>
        </w:rPr>
        <w:t> </w:t>
      </w:r>
      <w:r>
        <w:rPr/>
        <w:t>SIMPLIFICADO DO RELATÓRIO RESUMIDO DA EXECUÇÃO ORCAMENTÁRIA - Modelo Resumido</w:t>
      </w:r>
    </w:p>
    <w:p>
      <w:pPr>
        <w:spacing w:line="156" w:lineRule="exact" w:before="10"/>
        <w:ind w:left="1541" w:right="1006" w:firstLine="0"/>
        <w:jc w:val="center"/>
        <w:rPr>
          <w:sz w:val="16"/>
        </w:rPr>
      </w:pPr>
      <w:r>
        <w:rPr>
          <w:sz w:val="16"/>
        </w:rPr>
        <w:t>ORÇAMENTOS FISCAL E</w:t>
      </w:r>
      <w:r>
        <w:rPr>
          <w:spacing w:val="-1"/>
          <w:sz w:val="16"/>
        </w:rPr>
        <w:t> </w:t>
      </w:r>
      <w:r>
        <w:rPr>
          <w:sz w:val="16"/>
        </w:rPr>
        <w:t>DA SEGURIDADE SOCIAL</w:t>
      </w:r>
    </w:p>
    <w:p>
      <w:pPr>
        <w:spacing w:after="0" w:line="156" w:lineRule="exact"/>
        <w:jc w:val="center"/>
        <w:rPr>
          <w:sz w:val="16"/>
        </w:rPr>
        <w:sectPr>
          <w:type w:val="continuous"/>
          <w:pgSz w:w="11900" w:h="16820"/>
          <w:pgMar w:top="180" w:bottom="280" w:left="320" w:right="80"/>
        </w:sectPr>
      </w:pPr>
    </w:p>
    <w:p>
      <w:pPr>
        <w:spacing w:line="179" w:lineRule="exact" w:before="0"/>
        <w:ind w:left="173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28640" from="22.392pt,14.237121pt" to="583.992pt,14.237121pt" stroked="true" strokeweight=".119pt" strokecolor="#000000">
            <v:stroke dashstyle="solid"/>
            <w10:wrap type="none"/>
          </v:line>
        </w:pict>
      </w:r>
      <w:r>
        <w:rPr>
          <w:sz w:val="16"/>
        </w:rPr>
        <w:t>LRF,</w:t>
      </w:r>
      <w:r>
        <w:rPr>
          <w:spacing w:val="-4"/>
          <w:sz w:val="16"/>
        </w:rPr>
        <w:t> </w:t>
      </w:r>
      <w:r>
        <w:rPr>
          <w:sz w:val="16"/>
        </w:rPr>
        <w:t>Art.</w:t>
      </w:r>
      <w:r>
        <w:rPr>
          <w:spacing w:val="-3"/>
          <w:sz w:val="16"/>
        </w:rPr>
        <w:t> </w:t>
      </w:r>
      <w:r>
        <w:rPr>
          <w:sz w:val="16"/>
        </w:rPr>
        <w:t>48</w:t>
      </w:r>
      <w:r>
        <w:rPr>
          <w:spacing w:val="-4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Anexo</w:t>
      </w:r>
      <w:r>
        <w:rPr>
          <w:spacing w:val="-4"/>
          <w:sz w:val="16"/>
        </w:rPr>
        <w:t> </w:t>
      </w:r>
      <w:r>
        <w:rPr>
          <w:sz w:val="16"/>
        </w:rPr>
        <w:t>14</w:t>
      </w:r>
    </w:p>
    <w:p>
      <w:pPr>
        <w:pStyle w:val="BodyText"/>
        <w:rPr>
          <w:sz w:val="18"/>
        </w:rPr>
      </w:pPr>
    </w:p>
    <w:p>
      <w:pPr>
        <w:pStyle w:val="BodyText"/>
        <w:spacing w:before="158"/>
        <w:ind w:left="293"/>
      </w:pPr>
      <w:r>
        <w:rPr/>
        <w:pict>
          <v:line style="position:absolute;mso-position-horizontal-relative:page;mso-position-vertical-relative:paragraph;z-index:15729152" from="22.392pt,5.511915pt" to="583.992pt,5.511915pt" stroked="true" strokeweight=".119pt" strokecolor="#000000">
            <v:stroke dashstyle="solid"/>
            <w10:wrap type="none"/>
          </v:line>
        </w:pict>
      </w:r>
      <w:r>
        <w:rPr/>
        <w:t>RECEITAS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7"/>
        <w:rPr>
          <w:sz w:val="17"/>
        </w:rPr>
      </w:pPr>
    </w:p>
    <w:p>
      <w:pPr>
        <w:pStyle w:val="Heading2"/>
      </w:pPr>
      <w:r>
        <w:rPr/>
        <w:t>BALANÇO</w:t>
      </w:r>
      <w:r>
        <w:rPr>
          <w:spacing w:val="-1"/>
        </w:rPr>
        <w:t> </w:t>
      </w:r>
      <w:r>
        <w:rPr/>
        <w:t>ORÇAMENTÁRIO</w:t>
      </w:r>
    </w:p>
    <w:p>
      <w:pPr>
        <w:tabs>
          <w:tab w:pos="4976" w:val="left" w:leader="none"/>
        </w:tabs>
        <w:spacing w:before="24"/>
        <w:ind w:left="173" w:right="0" w:firstLine="0"/>
        <w:jc w:val="left"/>
        <w:rPr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6º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Bimestre/2022</w:t>
        <w:tab/>
      </w:r>
      <w:r>
        <w:rPr>
          <w:sz w:val="16"/>
        </w:rPr>
        <w:t>R$ 1,00</w:t>
      </w:r>
    </w:p>
    <w:p>
      <w:pPr>
        <w:pStyle w:val="BodyText"/>
        <w:spacing w:before="116"/>
        <w:ind w:left="3110" w:right="2346"/>
        <w:jc w:val="center"/>
      </w:pPr>
      <w:r>
        <w:rPr/>
        <w:pict>
          <v:line style="position:absolute;mso-position-horizontal-relative:page;mso-position-vertical-relative:paragraph;z-index:15730176" from="304.415985pt,3.843906pt" to="304.415985pt,119.763906pt" stroked="true" strokeweight=".119pt" strokecolor="#000000">
            <v:stroke dashstyle="solid"/>
            <w10:wrap type="none"/>
          </v:line>
        </w:pict>
      </w:r>
      <w:r>
        <w:rPr/>
        <w:t>Até o Bimestre</w:t>
      </w:r>
    </w:p>
    <w:p>
      <w:pPr>
        <w:spacing w:after="0"/>
        <w:jc w:val="center"/>
        <w:sectPr>
          <w:type w:val="continuous"/>
          <w:pgSz w:w="11900" w:h="16820"/>
          <w:pgMar w:top="180" w:bottom="280" w:left="320" w:right="80"/>
          <w:cols w:num="3" w:equalWidth="0">
            <w:col w:w="1891" w:space="40"/>
            <w:col w:w="1830" w:space="1456"/>
            <w:col w:w="6283"/>
          </w:cols>
        </w:sectPr>
      </w:pPr>
    </w:p>
    <w:tbl>
      <w:tblPr>
        <w:tblW w:w="0" w:type="auto"/>
        <w:jc w:val="left"/>
        <w:tblInd w:w="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1"/>
        <w:gridCol w:w="2867"/>
      </w:tblGrid>
      <w:tr>
        <w:trPr>
          <w:trHeight w:val="143" w:hRule="atLeast"/>
        </w:trPr>
        <w:tc>
          <w:tcPr>
            <w:tcW w:w="5761" w:type="dxa"/>
          </w:tcPr>
          <w:p>
            <w:pPr>
              <w:pStyle w:val="TableParagraph"/>
              <w:spacing w:line="123" w:lineRule="exact"/>
              <w:ind w:left="31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</w:tc>
        <w:tc>
          <w:tcPr>
            <w:tcW w:w="2867" w:type="dxa"/>
          </w:tcPr>
          <w:p>
            <w:pPr>
              <w:pStyle w:val="TableParagraph"/>
              <w:spacing w:line="123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25.249.000,00</w:t>
            </w:r>
          </w:p>
        </w:tc>
      </w:tr>
      <w:tr>
        <w:trPr>
          <w:trHeight w:val="146" w:hRule="atLeast"/>
        </w:trPr>
        <w:tc>
          <w:tcPr>
            <w:tcW w:w="5761" w:type="dxa"/>
          </w:tcPr>
          <w:p>
            <w:pPr>
              <w:pStyle w:val="TableParagraph"/>
              <w:spacing w:line="126" w:lineRule="exact" w:before="1"/>
              <w:ind w:left="31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</w:tc>
        <w:tc>
          <w:tcPr>
            <w:tcW w:w="2867" w:type="dxa"/>
          </w:tcPr>
          <w:p>
            <w:pPr>
              <w:pStyle w:val="TableParagraph"/>
              <w:spacing w:line="126" w:lineRule="exact" w:before="1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25.249.000,00</w:t>
            </w:r>
          </w:p>
        </w:tc>
      </w:tr>
      <w:tr>
        <w:trPr>
          <w:trHeight w:val="159" w:hRule="atLeast"/>
        </w:trPr>
        <w:tc>
          <w:tcPr>
            <w:tcW w:w="5761" w:type="dxa"/>
          </w:tcPr>
          <w:p>
            <w:pPr>
              <w:pStyle w:val="TableParagraph"/>
              <w:spacing w:line="129" w:lineRule="exact" w:before="11"/>
              <w:ind w:left="31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Realizadas</w:t>
            </w:r>
          </w:p>
        </w:tc>
        <w:tc>
          <w:tcPr>
            <w:tcW w:w="2867" w:type="dxa"/>
          </w:tcPr>
          <w:p>
            <w:pPr>
              <w:pStyle w:val="TableParagraph"/>
              <w:spacing w:line="136" w:lineRule="exact" w:before="4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28.057.743,44</w:t>
            </w:r>
          </w:p>
        </w:tc>
      </w:tr>
      <w:tr>
        <w:trPr>
          <w:trHeight w:val="147" w:hRule="atLeast"/>
        </w:trPr>
        <w:tc>
          <w:tcPr>
            <w:tcW w:w="5761" w:type="dxa"/>
          </w:tcPr>
          <w:p>
            <w:pPr>
              <w:pStyle w:val="TableParagraph"/>
              <w:spacing w:line="121" w:lineRule="exact" w:before="7"/>
              <w:ind w:left="31"/>
              <w:rPr>
                <w:sz w:val="12"/>
              </w:rPr>
            </w:pPr>
            <w:r>
              <w:rPr>
                <w:sz w:val="12"/>
              </w:rPr>
              <w:t>Déficit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Orcamentário</w:t>
            </w:r>
          </w:p>
        </w:tc>
        <w:tc>
          <w:tcPr>
            <w:tcW w:w="2867" w:type="dxa"/>
          </w:tcPr>
          <w:p>
            <w:pPr>
              <w:pStyle w:val="TableParagraph"/>
              <w:spacing w:line="118" w:lineRule="exact" w:before="9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2.812.650,30</w:t>
            </w:r>
          </w:p>
        </w:tc>
      </w:tr>
      <w:tr>
        <w:trPr>
          <w:trHeight w:val="141" w:hRule="atLeast"/>
        </w:trPr>
        <w:tc>
          <w:tcPr>
            <w:tcW w:w="5761" w:type="dxa"/>
          </w:tcPr>
          <w:p>
            <w:pPr>
              <w:pStyle w:val="TableParagraph"/>
              <w:spacing w:line="118" w:lineRule="exact" w:before="3"/>
              <w:ind w:left="31"/>
              <w:rPr>
                <w:sz w:val="12"/>
              </w:rPr>
            </w:pPr>
            <w:r>
              <w:rPr>
                <w:sz w:val="12"/>
              </w:rPr>
              <w:t>Saldos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Exercicios Anteriores (Utilizados para Créditos Adicionais)</w:t>
            </w:r>
          </w:p>
        </w:tc>
        <w:tc>
          <w:tcPr>
            <w:tcW w:w="2867" w:type="dxa"/>
          </w:tcPr>
          <w:p>
            <w:pPr>
              <w:pStyle w:val="TableParagraph"/>
              <w:spacing w:line="121" w:lineRule="exact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3.526.901,36</w:t>
            </w:r>
          </w:p>
        </w:tc>
      </w:tr>
    </w:tbl>
    <w:p>
      <w:pPr>
        <w:spacing w:after="0" w:line="121" w:lineRule="exact"/>
        <w:jc w:val="right"/>
        <w:rPr>
          <w:sz w:val="12"/>
        </w:rPr>
        <w:sectPr>
          <w:type w:val="continuous"/>
          <w:pgSz w:w="11900" w:h="16820"/>
          <w:pgMar w:top="180" w:bottom="280" w:left="320" w:right="80"/>
        </w:sectPr>
      </w:pPr>
    </w:p>
    <w:p>
      <w:pPr>
        <w:pStyle w:val="BodyText"/>
        <w:spacing w:before="23"/>
        <w:ind w:left="293"/>
      </w:pPr>
      <w:r>
        <w:rPr/>
        <w:t>DESPESAS</w:t>
      </w:r>
    </w:p>
    <w:p>
      <w:pPr>
        <w:pStyle w:val="BodyText"/>
        <w:spacing w:line="249" w:lineRule="auto" w:before="19"/>
        <w:ind w:left="605" w:right="2426"/>
      </w:pPr>
      <w:r>
        <w:rPr/>
        <w:t>Dotação Inicial</w:t>
      </w:r>
      <w:r>
        <w:rPr>
          <w:spacing w:val="1"/>
        </w:rPr>
        <w:t> </w:t>
      </w:r>
      <w:r>
        <w:rPr/>
        <w:t>Créditos Adicionais</w:t>
      </w:r>
      <w:r>
        <w:rPr>
          <w:spacing w:val="-31"/>
        </w:rPr>
        <w:t> </w:t>
      </w:r>
      <w:r>
        <w:rPr>
          <w:spacing w:val="-1"/>
        </w:rPr>
        <w:t>Dotação</w:t>
      </w:r>
      <w:r>
        <w:rPr>
          <w:spacing w:val="-6"/>
        </w:rPr>
        <w:t> </w:t>
      </w:r>
      <w:r>
        <w:rPr/>
        <w:t>Atualizada</w:t>
      </w:r>
    </w:p>
    <w:p>
      <w:pPr>
        <w:pStyle w:val="BodyText"/>
        <w:spacing w:line="252" w:lineRule="auto" w:before="1"/>
        <w:ind w:left="605" w:right="2187" w:firstLine="1"/>
      </w:pPr>
      <w:r>
        <w:rPr/>
        <w:pict>
          <v:shape style="position:absolute;margin-left:21.672001pt;margin-top:28.909916pt;width:561.6pt;height:30.25pt;mso-position-horizontal-relative:page;mso-position-vertical-relative:paragraph;z-index:-15854592" coordorigin="433,578" coordsize="11232,605" path="m433,578l11665,578m433,643l11665,643m433,823l11665,823m6088,643l6088,1182m433,1183l11665,1183e" filled="false" stroked="true" strokeweight=".119pt" strokecolor="#000000">
            <v:path arrowok="t"/>
            <v:stroke dashstyle="solid"/>
            <w10:wrap type="none"/>
          </v:shape>
        </w:pict>
      </w:r>
      <w:r>
        <w:rPr>
          <w:spacing w:val="-1"/>
        </w:rPr>
        <w:t>Despesas </w:t>
      </w:r>
      <w:r>
        <w:rPr/>
        <w:t>Empenhadas</w:t>
      </w:r>
      <w:r>
        <w:rPr>
          <w:spacing w:val="-31"/>
        </w:rPr>
        <w:t> </w:t>
      </w:r>
      <w:r>
        <w:rPr/>
        <w:t>Despesas Liquidadas</w:t>
      </w:r>
      <w:r>
        <w:rPr>
          <w:spacing w:val="1"/>
        </w:rPr>
        <w:t> </w:t>
      </w:r>
      <w:r>
        <w:rPr/>
        <w:t>Despesas Pagas</w:t>
      </w:r>
      <w:r>
        <w:rPr>
          <w:spacing w:val="1"/>
        </w:rPr>
        <w:t> </w:t>
      </w:r>
      <w:r>
        <w:rPr/>
        <w:t>Superávit</w:t>
      </w:r>
      <w:r>
        <w:rPr>
          <w:spacing w:val="-1"/>
        </w:rPr>
        <w:t> </w:t>
      </w:r>
      <w:r>
        <w:rPr/>
        <w:t>Orcamentário</w:t>
      </w:r>
    </w:p>
    <w:p>
      <w:pPr>
        <w:pStyle w:val="Heading2"/>
        <w:spacing w:before="92"/>
        <w:ind w:left="1757"/>
      </w:pPr>
      <w:r>
        <w:rPr/>
        <w:t>DESPESA</w:t>
      </w:r>
      <w:r>
        <w:rPr>
          <w:spacing w:val="-1"/>
        </w:rPr>
        <w:t> </w:t>
      </w:r>
      <w:r>
        <w:rPr/>
        <w:t>POR FUNÇÃO / SUBFUNÇÃO</w:t>
      </w:r>
    </w:p>
    <w:p>
      <w:pPr>
        <w:pStyle w:val="BodyText"/>
        <w:spacing w:line="249" w:lineRule="auto" w:before="55"/>
        <w:ind w:left="293" w:right="2500"/>
      </w:pPr>
      <w:r>
        <w:rPr>
          <w:spacing w:val="-1"/>
        </w:rPr>
        <w:t>Despesas </w:t>
      </w:r>
      <w:r>
        <w:rPr/>
        <w:t>Empenhadas</w:t>
      </w:r>
      <w:r>
        <w:rPr>
          <w:spacing w:val="-31"/>
        </w:rPr>
        <w:t> </w:t>
      </w:r>
      <w:r>
        <w:rPr/>
        <w:t>Despesas</w:t>
      </w:r>
      <w:r>
        <w:rPr>
          <w:spacing w:val="-1"/>
        </w:rPr>
        <w:t> </w:t>
      </w:r>
      <w:r>
        <w:rPr/>
        <w:t>Liquidadas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1"/>
        <w:ind w:right="2327"/>
        <w:jc w:val="right"/>
      </w:pPr>
      <w:r>
        <w:rPr/>
        <w:t>25.249.000,00</w:t>
      </w:r>
    </w:p>
    <w:p>
      <w:pPr>
        <w:pStyle w:val="BodyText"/>
        <w:spacing w:line="137" w:lineRule="exact" w:before="10"/>
        <w:ind w:right="2327"/>
        <w:jc w:val="right"/>
      </w:pPr>
      <w:r>
        <w:rPr/>
        <w:t>9.256.766,75</w:t>
      </w:r>
    </w:p>
    <w:p>
      <w:pPr>
        <w:pStyle w:val="BodyText"/>
        <w:spacing w:line="137" w:lineRule="exact"/>
        <w:ind w:right="2327"/>
        <w:jc w:val="right"/>
      </w:pPr>
      <w:r>
        <w:rPr/>
        <w:t>34.505.766,75</w:t>
      </w:r>
    </w:p>
    <w:p>
      <w:pPr>
        <w:pStyle w:val="BodyText"/>
        <w:spacing w:before="13"/>
        <w:ind w:right="2327"/>
        <w:jc w:val="right"/>
      </w:pPr>
      <w:r>
        <w:rPr/>
        <w:t>31.078.730,51</w:t>
      </w:r>
    </w:p>
    <w:p>
      <w:pPr>
        <w:pStyle w:val="BodyText"/>
        <w:spacing w:before="10"/>
        <w:ind w:right="2327"/>
        <w:jc w:val="right"/>
      </w:pPr>
      <w:r>
        <w:rPr/>
        <w:t>30.870.393,74</w:t>
      </w:r>
    </w:p>
    <w:p>
      <w:pPr>
        <w:pStyle w:val="BodyText"/>
        <w:spacing w:line="136" w:lineRule="exact" w:before="14"/>
        <w:ind w:right="2327"/>
        <w:jc w:val="right"/>
      </w:pPr>
      <w:r>
        <w:rPr/>
        <w:t>29.133.914,30</w:t>
      </w:r>
    </w:p>
    <w:p>
      <w:pPr>
        <w:pStyle w:val="BodyText"/>
        <w:spacing w:line="136" w:lineRule="exact"/>
        <w:ind w:right="2323"/>
        <w:jc w:val="right"/>
      </w:pPr>
      <w:r>
        <w:rPr/>
        <w:t>0,00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312" w:lineRule="auto"/>
        <w:ind w:left="349" w:right="2309" w:hanging="57"/>
      </w:pPr>
      <w:r>
        <w:rPr/>
        <w:t>Até o Bimestre</w:t>
      </w:r>
      <w:r>
        <w:rPr>
          <w:spacing w:val="1"/>
        </w:rPr>
        <w:t> </w:t>
      </w:r>
      <w:r>
        <w:rPr/>
        <w:t>31.078.730,51</w:t>
      </w:r>
    </w:p>
    <w:p>
      <w:pPr>
        <w:pStyle w:val="BodyText"/>
        <w:spacing w:line="108" w:lineRule="exact"/>
        <w:ind w:left="349"/>
      </w:pPr>
      <w:r>
        <w:rPr/>
        <w:t>30.870.393,74</w:t>
      </w:r>
    </w:p>
    <w:p>
      <w:pPr>
        <w:spacing w:after="0" w:line="108" w:lineRule="exact"/>
        <w:sectPr>
          <w:type w:val="continuous"/>
          <w:pgSz w:w="11900" w:h="16820"/>
          <w:pgMar w:top="180" w:bottom="280" w:left="320" w:right="80"/>
          <w:cols w:num="2" w:equalWidth="0">
            <w:col w:w="4079" w:space="3975"/>
            <w:col w:w="3446"/>
          </w:cols>
        </w:sectPr>
      </w:pP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5"/>
        <w:gridCol w:w="1305"/>
        <w:gridCol w:w="1246"/>
        <w:gridCol w:w="2931"/>
        <w:gridCol w:w="145"/>
      </w:tblGrid>
      <w:tr>
        <w:trPr>
          <w:trHeight w:val="205" w:hRule="atLeast"/>
        </w:trPr>
        <w:tc>
          <w:tcPr>
            <w:tcW w:w="5655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0"/>
              <w:ind w:left="156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TÍPICAS DE MDE</w:t>
            </w:r>
          </w:p>
        </w:tc>
        <w:tc>
          <w:tcPr>
            <w:tcW w:w="1305" w:type="dxa"/>
            <w:vMerge w:val="restart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312" w:lineRule="auto"/>
              <w:ind w:left="272" w:right="235"/>
              <w:rPr>
                <w:sz w:val="12"/>
              </w:rPr>
            </w:pPr>
            <w:r>
              <w:rPr>
                <w:sz w:val="12"/>
              </w:rPr>
              <w:t>Valor 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</w:tc>
        <w:tc>
          <w:tcPr>
            <w:tcW w:w="417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8"/>
              <w:ind w:left="1282"/>
              <w:rPr>
                <w:sz w:val="12"/>
              </w:rPr>
            </w:pPr>
            <w:r>
              <w:rPr>
                <w:sz w:val="12"/>
              </w:rPr>
              <w:t>Limites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Constitucionais Anuais</w:t>
            </w:r>
          </w:p>
        </w:tc>
        <w:tc>
          <w:tcPr>
            <w:tcW w:w="14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9" w:hRule="atLeast"/>
        </w:trPr>
        <w:tc>
          <w:tcPr>
            <w:tcW w:w="56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213" w:lineRule="auto" w:before="60"/>
              <w:ind w:left="358" w:right="24" w:hanging="195"/>
              <w:rPr>
                <w:sz w:val="12"/>
              </w:rPr>
            </w:pPr>
            <w:r>
              <w:rPr>
                <w:sz w:val="12"/>
              </w:rPr>
              <w:t>% Mínimo a Aplicar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2931" w:type="dxa"/>
            <w:tcBorders>
              <w:right w:val="nil"/>
            </w:tcBorders>
          </w:tcPr>
          <w:p>
            <w:pPr>
              <w:pStyle w:val="TableParagraph"/>
              <w:spacing w:line="230" w:lineRule="auto" w:before="48"/>
              <w:ind w:left="997" w:right="1115"/>
              <w:jc w:val="center"/>
              <w:rPr>
                <w:sz w:val="12"/>
              </w:rPr>
            </w:pPr>
            <w:r>
              <w:rPr>
                <w:sz w:val="12"/>
              </w:rPr>
              <w:t>% Aplicado Até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14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56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1" w:lineRule="exact" w:before="59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de  % / 25%&gt; das Receitas de Impostos na Manutenção e Desenvolvimento do Ensino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31" w:lineRule="exact" w:before="59"/>
              <w:ind w:right="129"/>
              <w:jc w:val="right"/>
              <w:rPr>
                <w:sz w:val="12"/>
              </w:rPr>
            </w:pPr>
            <w:r>
              <w:rPr>
                <w:sz w:val="12"/>
              </w:rPr>
              <w:t>6.746.710,06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64"/>
              <w:ind w:left="263"/>
              <w:rPr>
                <w:sz w:val="12"/>
              </w:rPr>
            </w:pPr>
            <w:r>
              <w:rPr>
                <w:sz w:val="12"/>
              </w:rPr>
              <w:t>&lt;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18 % / 25% &gt;</w:t>
            </w:r>
          </w:p>
        </w:tc>
        <w:tc>
          <w:tcPr>
            <w:tcW w:w="307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31" w:lineRule="exact" w:before="59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31,88</w:t>
            </w:r>
          </w:p>
        </w:tc>
      </w:tr>
      <w:tr>
        <w:trPr>
          <w:trHeight w:val="151" w:hRule="atLeast"/>
        </w:trPr>
        <w:tc>
          <w:tcPr>
            <w:tcW w:w="56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de 70% do FUNDEB na Remuneração dos Profissionais da Educação Básica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29"/>
              <w:jc w:val="right"/>
              <w:rPr>
                <w:sz w:val="12"/>
              </w:rPr>
            </w:pPr>
            <w:r>
              <w:rPr>
                <w:sz w:val="12"/>
              </w:rPr>
              <w:t>4.391.835,80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70%</w:t>
            </w:r>
          </w:p>
        </w:tc>
        <w:tc>
          <w:tcPr>
            <w:tcW w:w="3076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85,47</w:t>
            </w:r>
          </w:p>
        </w:tc>
      </w:tr>
      <w:tr>
        <w:trPr>
          <w:trHeight w:val="159" w:hRule="atLeast"/>
        </w:trPr>
        <w:tc>
          <w:tcPr>
            <w:tcW w:w="56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4"/>
              <w:ind w:left="181"/>
              <w:rPr>
                <w:sz w:val="12"/>
              </w:rPr>
            </w:pPr>
            <w:r>
              <w:rPr>
                <w:sz w:val="12"/>
              </w:rPr>
              <w:t>Percentual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50% da Complementação da União ao FUNDEB (VAAT) na Educação Infantil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0"/>
              <w:ind w:right="12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4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50%</w:t>
            </w:r>
          </w:p>
        </w:tc>
        <w:tc>
          <w:tcPr>
            <w:tcW w:w="3076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10"/>
              <w:ind w:left="1600" w:right="1064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8" w:hRule="atLeast"/>
        </w:trPr>
        <w:tc>
          <w:tcPr>
            <w:tcW w:w="5655" w:type="dxa"/>
            <w:tcBorders>
              <w:top w:val="nil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7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15% da Complementação da União ao FUNDEB (VAAT) em Despesas de Capital</w:t>
            </w:r>
          </w:p>
        </w:tc>
        <w:tc>
          <w:tcPr>
            <w:tcW w:w="130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15%</w:t>
            </w:r>
          </w:p>
        </w:tc>
        <w:tc>
          <w:tcPr>
            <w:tcW w:w="3076" w:type="dxa"/>
            <w:gridSpan w:val="2"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5655" w:type="dxa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1"/>
              <w:ind w:left="99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E SERVIÇOS PÚBLICOS DE SAÚDE</w:t>
            </w:r>
          </w:p>
        </w:tc>
        <w:tc>
          <w:tcPr>
            <w:tcW w:w="1305" w:type="dxa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312" w:lineRule="auto" w:before="75"/>
              <w:ind w:left="276" w:right="218" w:firstLine="38"/>
              <w:rPr>
                <w:sz w:val="12"/>
              </w:rPr>
            </w:pPr>
            <w:r>
              <w:rPr>
                <w:spacing w:val="-1"/>
                <w:sz w:val="12"/>
              </w:rPr>
              <w:t>Valor </w:t>
            </w:r>
            <w:r>
              <w:rPr>
                <w:sz w:val="12"/>
              </w:rPr>
              <w:t>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4322" w:type="dxa"/>
            <w:gridSpan w:val="3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37" w:lineRule="exact" w:before="21"/>
              <w:ind w:left="922"/>
              <w:rPr>
                <w:sz w:val="12"/>
              </w:rPr>
            </w:pPr>
            <w:r>
              <w:rPr>
                <w:sz w:val="12"/>
              </w:rPr>
              <w:t>Limite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Constitucional Anual</w:t>
            </w:r>
          </w:p>
        </w:tc>
      </w:tr>
      <w:tr>
        <w:trPr>
          <w:trHeight w:val="324" w:hRule="atLeast"/>
        </w:trPr>
        <w:tc>
          <w:tcPr>
            <w:tcW w:w="56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136" w:lineRule="exact" w:before="32"/>
              <w:ind w:left="270" w:right="76" w:hanging="152"/>
              <w:rPr>
                <w:sz w:val="12"/>
              </w:rPr>
            </w:pPr>
            <w:r>
              <w:rPr>
                <w:sz w:val="12"/>
              </w:rPr>
              <w:t>% minimo a Aplicar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307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35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 até o bimestre</w:t>
            </w:r>
          </w:p>
        </w:tc>
      </w:tr>
      <w:tr>
        <w:trPr>
          <w:trHeight w:val="236" w:hRule="atLeast"/>
        </w:trPr>
        <w:tc>
          <w:tcPr>
            <w:tcW w:w="5655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18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Próprias com Ações e Serviços Públicos de Saúde</w:t>
            </w:r>
          </w:p>
        </w:tc>
        <w:tc>
          <w:tcPr>
            <w:tcW w:w="1305" w:type="dxa"/>
          </w:tcPr>
          <w:p>
            <w:pPr>
              <w:pStyle w:val="TableParagraph"/>
              <w:spacing w:before="59"/>
              <w:ind w:right="129"/>
              <w:jc w:val="right"/>
              <w:rPr>
                <w:sz w:val="12"/>
              </w:rPr>
            </w:pPr>
            <w:r>
              <w:rPr>
                <w:sz w:val="12"/>
              </w:rPr>
              <w:t>5.391.741,84</w:t>
            </w:r>
          </w:p>
        </w:tc>
        <w:tc>
          <w:tcPr>
            <w:tcW w:w="1246" w:type="dxa"/>
          </w:tcPr>
          <w:p>
            <w:pPr>
              <w:pStyle w:val="TableParagraph"/>
              <w:spacing w:before="59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307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9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26,86</w:t>
            </w:r>
          </w:p>
        </w:tc>
      </w:tr>
    </w:tbl>
    <w:p>
      <w:pPr>
        <w:pStyle w:val="BodyText"/>
        <w:spacing w:before="13"/>
        <w:ind w:left="293"/>
      </w:pPr>
      <w:r>
        <w:rPr/>
        <w:t>Fonte:</w:t>
      </w:r>
    </w:p>
    <w:p>
      <w:pPr>
        <w:pStyle w:val="BodyText"/>
        <w:spacing w:line="247" w:lineRule="auto" w:before="42"/>
        <w:ind w:left="279" w:right="689"/>
      </w:pPr>
      <w:r>
        <w:rPr/>
        <w:t>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Resumido da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Orçamentária do</w:t>
      </w:r>
      <w:r>
        <w:rPr>
          <w:spacing w:val="-1"/>
        </w:rPr>
        <w:t> </w:t>
      </w:r>
      <w:r>
        <w:rPr/>
        <w:t>bimestre</w:t>
      </w:r>
      <w:r>
        <w:rPr>
          <w:spacing w:val="-1"/>
        </w:rPr>
        <w:t> </w:t>
      </w:r>
      <w:r>
        <w:rPr/>
        <w:t>novembro e</w:t>
      </w:r>
      <w:r>
        <w:rPr>
          <w:spacing w:val="-1"/>
        </w:rPr>
        <w:t> </w:t>
      </w:r>
      <w:r>
        <w:rPr/>
        <w:t>dezembro/2022,</w:t>
      </w:r>
      <w:r>
        <w:rPr>
          <w:spacing w:val="-1"/>
        </w:rPr>
        <w:t> </w:t>
      </w:r>
      <w:r>
        <w:rPr/>
        <w:t>bem como,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Relatório de</w:t>
      </w:r>
      <w:r>
        <w:rPr>
          <w:spacing w:val="-1"/>
        </w:rPr>
        <w:t> </w:t>
      </w:r>
      <w:r>
        <w:rPr/>
        <w:t>Gestão</w:t>
      </w:r>
      <w:r>
        <w:rPr>
          <w:spacing w:val="-1"/>
        </w:rPr>
        <w:t> </w:t>
      </w:r>
      <w:r>
        <w:rPr/>
        <w:t>do 2º</w:t>
      </w:r>
      <w:r>
        <w:rPr>
          <w:spacing w:val="-1"/>
        </w:rPr>
        <w:t> </w:t>
      </w:r>
      <w:r>
        <w:rPr/>
        <w:t>semestre</w:t>
      </w:r>
      <w:r>
        <w:rPr>
          <w:spacing w:val="-1"/>
        </w:rPr>
        <w:t> </w:t>
      </w:r>
      <w:r>
        <w:rPr/>
        <w:t>de 2022,</w:t>
      </w:r>
      <w:r>
        <w:rPr>
          <w:spacing w:val="-1"/>
        </w:rPr>
        <w:t> </w:t>
      </w:r>
      <w:r>
        <w:rPr/>
        <w:t>encontram-se</w:t>
      </w:r>
      <w:r>
        <w:rPr>
          <w:spacing w:val="-1"/>
        </w:rPr>
        <w:t> </w:t>
      </w:r>
      <w:r>
        <w:rPr/>
        <w:t>afixados no</w:t>
      </w:r>
      <w:r>
        <w:rPr>
          <w:spacing w:val="-1"/>
        </w:rPr>
        <w:t> </w:t>
      </w:r>
      <w:r>
        <w:rPr/>
        <w:t>mural</w:t>
      </w:r>
      <w:r>
        <w:rPr>
          <w:spacing w:val="-1"/>
        </w:rPr>
        <w:t> </w:t>
      </w:r>
      <w:r>
        <w:rPr/>
        <w:t>da Prefeitura</w:t>
      </w:r>
      <w:r>
        <w:rPr>
          <w:spacing w:val="-31"/>
        </w:rPr>
        <w:t> </w:t>
      </w:r>
      <w:r>
        <w:rPr/>
        <w:t>Municipal, na Avenida 28 de dezembro, 3365,</w:t>
      </w:r>
      <w:r>
        <w:rPr>
          <w:spacing w:val="1"/>
        </w:rPr>
        <w:t> </w:t>
      </w:r>
      <w:r>
        <w:rPr/>
        <w:t>centro respectivamente, no horário das 08:00 às 12:00 horas e das 13:00 às 17:00 horas a contar de 28 de Janeiro de 2022, bem</w:t>
      </w:r>
      <w:r>
        <w:rPr>
          <w:spacing w:val="1"/>
        </w:rPr>
        <w:t> </w:t>
      </w:r>
      <w:r>
        <w:rPr/>
        <w:t>como,https://chuvisca.rs.gov.br/site/contaspublicas</w:t>
      </w: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7"/>
        <w:gridCol w:w="4021"/>
        <w:gridCol w:w="3266"/>
      </w:tblGrid>
      <w:tr>
        <w:trPr>
          <w:trHeight w:val="337" w:hRule="atLeast"/>
        </w:trPr>
        <w:tc>
          <w:tcPr>
            <w:tcW w:w="2477" w:type="dxa"/>
          </w:tcPr>
          <w:p>
            <w:pPr>
              <w:pStyle w:val="TableParagraph"/>
              <w:spacing w:line="134" w:lineRule="exact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PREFEITO</w:t>
            </w:r>
          </w:p>
          <w:p>
            <w:pPr>
              <w:pStyle w:val="TableParagraph"/>
              <w:spacing w:before="42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JOEL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SANTOS SUBDA</w:t>
            </w:r>
          </w:p>
        </w:tc>
        <w:tc>
          <w:tcPr>
            <w:tcW w:w="4021" w:type="dxa"/>
          </w:tcPr>
          <w:p>
            <w:pPr>
              <w:pStyle w:val="TableParagraph"/>
              <w:spacing w:line="134" w:lineRule="exact"/>
              <w:ind w:left="113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SECRETÁRIO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MUNICIPAL DE GESTÃO</w:t>
            </w:r>
          </w:p>
          <w:p>
            <w:pPr>
              <w:pStyle w:val="TableParagraph"/>
              <w:spacing w:before="42"/>
              <w:ind w:left="1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RUDI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NEI DALMOLIN</w:t>
            </w:r>
          </w:p>
        </w:tc>
        <w:tc>
          <w:tcPr>
            <w:tcW w:w="3266" w:type="dxa"/>
          </w:tcPr>
          <w:p>
            <w:pPr>
              <w:pStyle w:val="TableParagraph"/>
              <w:spacing w:line="134" w:lineRule="exact"/>
              <w:ind w:left="65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TÉCNICO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CONTABILIDADE - CONTADOR</w:t>
            </w:r>
          </w:p>
          <w:p>
            <w:pPr>
              <w:pStyle w:val="TableParagraph"/>
              <w:spacing w:before="42"/>
              <w:ind w:left="65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MAURO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SÉRGIO ROCHA DA SILVA</w:t>
            </w:r>
          </w:p>
        </w:tc>
      </w:tr>
      <w:tr>
        <w:trPr>
          <w:trHeight w:val="157" w:hRule="atLeast"/>
        </w:trPr>
        <w:tc>
          <w:tcPr>
            <w:tcW w:w="2477" w:type="dxa"/>
          </w:tcPr>
          <w:p>
            <w:pPr>
              <w:pStyle w:val="TableParagraph"/>
              <w:spacing w:line="118" w:lineRule="exact" w:before="19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CPF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004.763.250-05</w:t>
            </w:r>
          </w:p>
        </w:tc>
        <w:tc>
          <w:tcPr>
            <w:tcW w:w="4021" w:type="dxa"/>
          </w:tcPr>
          <w:p>
            <w:pPr>
              <w:pStyle w:val="TableParagraph"/>
              <w:spacing w:line="118" w:lineRule="exact" w:before="19"/>
              <w:ind w:left="1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CPF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039.577.996-00</w:t>
            </w:r>
          </w:p>
        </w:tc>
        <w:tc>
          <w:tcPr>
            <w:tcW w:w="3266" w:type="dxa"/>
          </w:tcPr>
          <w:p>
            <w:pPr>
              <w:pStyle w:val="TableParagraph"/>
              <w:spacing w:line="118" w:lineRule="exact" w:before="19"/>
              <w:ind w:left="65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CRC/RS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058.342/RS</w:t>
            </w:r>
          </w:p>
        </w:tc>
      </w:tr>
    </w:tbl>
    <w:sectPr>
      <w:type w:val="continuous"/>
      <w:pgSz w:w="11900" w:h="16820"/>
      <w:pgMar w:top="180" w:bottom="280" w:left="32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73" w:right="1006" w:hanging="19"/>
      <w:jc w:val="center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63"/>
      <w:outlineLvl w:val="2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ListaDemoSimplResumido</dc:subject>
  <dc:title>CW Report</dc:title>
  <dcterms:created xsi:type="dcterms:W3CDTF">2023-02-08T17:35:46Z</dcterms:created>
  <dcterms:modified xsi:type="dcterms:W3CDTF">2023-02-08T17:35:46Z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port471</vt:lpwstr>
  </property>
  <property fmtid="{D5CDD505-2E9C-101B-9397-08002B2CF9AE}" pid="4" name="LastSaved">
    <vt:filetime>2023-02-08T00:00:00Z</vt:filetime>
  </property>
</Properties>
</file>