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70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3332017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33320170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MUNICÍPIO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GARANTIAS E CONTRAGARANTIAS DE VALORES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2022 a JUNHO de 2022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GARANTIAS CONCEDIDAS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23.000.290,20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26.378.646,75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(VIII) = (VI - 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23.000.290,20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26.378.646,75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&lt;22%&gt;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5.060.063,84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5.803.302,29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&lt;19.8%&gt;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4.554.057,46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5.222.972,06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26/07/2022 E HORA DA EMISSÃO 10:35:33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