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99456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945656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2 - CÂMARA MUNICIPAL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OPERAÇÕES DE CRÉDITOS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2022 a JUNHO de 2022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APURAÇÃO DO CUMPRIMENTO DOS LIMITES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GERAL DEFINIDO POR RESOLUÇÃO DO SENADO FEDERAL PARA AS OPERAÇÕES DE CRÉDITO INTERNAS E EXTERNAS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&lt;14.40%&gt;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PARA AS OPERAÇÕES DE CRÉDITO POR ANTECIPAÇÃO DA RECEITA ORÇAMENTÁRIA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26/07/2022 E HORA DA EMISSÃO 10:52:14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