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4º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600.001,00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542.131,00</w:t>
            </w:r>
          </w:p>
        </w:tc>
      </w:tr>
      <w:tr>
        <w:trPr>
          <w:trHeight w:val="288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2243"/>
              <w:jc w:val="center"/>
              <w:rPr>
                <w:sz w:val="16"/>
              </w:rPr>
            </w:pPr>
            <w:r>
              <w:rPr>
                <w:sz w:val="16"/>
              </w:rPr>
              <w:t>57.870,00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542.130,00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Imóveis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90" w:lineRule="atLeast" w:before="0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6.920.800,41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7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390.319,59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239.124,89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484.860,26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03"/>
              <w:rPr>
                <w:sz w:val="16"/>
              </w:rPr>
            </w:pPr>
            <w:r>
              <w:rPr>
                <w:sz w:val="16"/>
              </w:rPr>
              <w:t>6.045.620,56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6.920.800,41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8"/>
              <w:rPr>
                <w:sz w:val="16"/>
              </w:rPr>
            </w:pPr>
            <w:r>
              <w:rPr>
                <w:sz w:val="16"/>
              </w:rPr>
              <w:t>390.319,59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239.124,89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484.860,26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6.045.620,56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6.920.799,41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390.319,59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239.124,89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484.860,26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6.045.619,56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515"/>
              <w:jc w:val="center"/>
              <w:rPr>
                <w:sz w:val="18"/>
              </w:rPr>
            </w:pPr>
            <w:r>
              <w:rPr>
                <w:sz w:val="18"/>
              </w:rPr>
              <w:t>-181.254,89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5"/>
              <w:rPr>
                <w:sz w:val="18"/>
              </w:rPr>
            </w:pPr>
            <w:r>
              <w:rPr>
                <w:sz w:val="18"/>
              </w:rPr>
              <w:t>-181.254,89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RESPONSAVEL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PELA ADM. FINANCEIRA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CONTADOR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370" w:space="2257"/>
            <w:col w:w="4670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JOEL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SANTOS SUBDA</w:t>
        <w:tab/>
        <w:t>PALOMA BIERHALS VENZKE SILVEIRA</w:t>
        <w:tab/>
        <w:t>NORTON HARTWIG IWEN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2023-09-25T14:18:43Z</dcterms:created>
  <dcterms:modified xsi:type="dcterms:W3CDTF">2023-09-25T14:18:43Z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