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 w:right="0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7" w:hRule="atLeast"/>
        </w:trPr>
        <w:tc>
          <w:tcPr>
            <w:tcW w:w="358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36" w:lineRule="auto" w:before="59"/>
              <w:ind w:left="361" w:right="225" w:hanging="329"/>
              <w:jc w:val="left"/>
              <w:rPr>
                <w:sz w:val="14"/>
              </w:rPr>
            </w:pPr>
            <w:r>
              <w:rPr>
                <w:sz w:val="14"/>
              </w:rPr>
              <w:t>RECEITAS (EXCETO INTRA-ORÇAMENTÁRIAS) (I)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before="32"/>
              <w:ind w:left="515" w:right="-58"/>
              <w:jc w:val="left"/>
              <w:rPr>
                <w:sz w:val="14"/>
              </w:rPr>
            </w:pPr>
            <w:r>
              <w:rPr>
                <w:sz w:val="14"/>
              </w:rPr>
              <w:t>IMPOSTOS, TAXAS E CONTRIBUIçõES DE MEL</w:t>
            </w:r>
          </w:p>
          <w:p>
            <w:pPr>
              <w:pStyle w:val="TableParagraph"/>
              <w:spacing w:line="381" w:lineRule="auto"/>
              <w:ind w:left="669" w:right="2326"/>
              <w:jc w:val="left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Taxas</w:t>
            </w:r>
          </w:p>
          <w:p>
            <w:pPr>
              <w:pStyle w:val="TableParagraph"/>
              <w:spacing w:line="381" w:lineRule="auto" w:before="2"/>
              <w:ind w:left="515" w:right="133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84" w:lineRule="auto" w:before="1"/>
              <w:ind w:left="669" w:right="1253"/>
              <w:jc w:val="left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Contribuições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  <w:p>
            <w:pPr>
              <w:pStyle w:val="TableParagraph"/>
              <w:spacing w:line="381" w:lineRule="auto" w:before="0"/>
              <w:ind w:left="515" w:right="45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para o Custeio do Serviço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PATRIMONIAL</w:t>
            </w:r>
          </w:p>
          <w:p>
            <w:pPr>
              <w:pStyle w:val="TableParagraph"/>
              <w:spacing w:line="381" w:lineRule="auto" w:before="1"/>
              <w:ind w:left="669" w:right="419"/>
              <w:jc w:val="left"/>
              <w:rPr>
                <w:sz w:val="14"/>
              </w:rPr>
            </w:pPr>
            <w:r>
              <w:rPr>
                <w:sz w:val="14"/>
              </w:rPr>
              <w:t>Exploração do Patrimônio Imobiliário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Valores Mobiliários</w:t>
            </w:r>
          </w:p>
          <w:p>
            <w:pPr>
              <w:pStyle w:val="TableParagraph"/>
              <w:spacing w:line="384" w:lineRule="auto" w:before="1"/>
              <w:ind w:left="669" w:right="271"/>
              <w:jc w:val="left"/>
              <w:rPr>
                <w:sz w:val="14"/>
              </w:rPr>
            </w:pPr>
            <w:r>
              <w:rPr>
                <w:sz w:val="14"/>
              </w:rPr>
              <w:t>Delegação de Serviços Públicos Mediante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Cessão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  <w:p>
            <w:pPr>
              <w:pStyle w:val="TableParagraph"/>
              <w:spacing w:line="381" w:lineRule="auto" w:before="0"/>
              <w:ind w:left="515" w:right="1027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Receitas Patrimoniais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AGROPECUáRIA</w:t>
            </w:r>
          </w:p>
          <w:p>
            <w:pPr>
              <w:pStyle w:val="TableParagraph"/>
              <w:spacing w:line="381" w:lineRule="auto" w:before="1"/>
              <w:ind w:left="515" w:right="1556" w:firstLine="1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Receita </w:t>
            </w:r>
            <w:r>
              <w:rPr>
                <w:sz w:val="14"/>
              </w:rPr>
              <w:t>Agropecuária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 INDUSTRIAL</w:t>
            </w:r>
          </w:p>
          <w:p>
            <w:pPr>
              <w:pStyle w:val="TableParagraph"/>
              <w:spacing w:line="384" w:lineRule="auto" w:before="1"/>
              <w:ind w:left="515" w:right="1491" w:firstLine="154"/>
              <w:jc w:val="left"/>
              <w:rPr>
                <w:sz w:val="14"/>
              </w:rPr>
            </w:pPr>
            <w:r>
              <w:rPr>
                <w:sz w:val="14"/>
              </w:rPr>
              <w:t>Receita Industrial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381" w:lineRule="auto" w:before="0"/>
              <w:ind w:left="669" w:right="367"/>
              <w:jc w:val="left"/>
              <w:rPr>
                <w:sz w:val="14"/>
              </w:rPr>
            </w:pPr>
            <w:r>
              <w:rPr>
                <w:sz w:val="14"/>
              </w:rPr>
              <w:t>Serviços Administrativos e Comerciais G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 e Atividades Referentes à Nave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 e Atividades Referentes à Saúd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Outros Serviços</w:t>
            </w:r>
          </w:p>
          <w:p>
            <w:pPr>
              <w:pStyle w:val="TableParagraph"/>
              <w:spacing w:before="3"/>
              <w:ind w:left="515" w:right="0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4" w:lineRule="auto"/>
              <w:ind w:left="669" w:right="349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  <w:p>
            <w:pPr>
              <w:pStyle w:val="TableParagraph"/>
              <w:spacing w:line="381" w:lineRule="auto" w:before="0"/>
              <w:ind w:left="515" w:right="801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Transferências Correntes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1" w:lineRule="auto" w:before="0"/>
              <w:ind w:left="669" w:right="334"/>
              <w:jc w:val="left"/>
              <w:rPr>
                <w:sz w:val="14"/>
              </w:rPr>
            </w:pPr>
            <w:r>
              <w:rPr>
                <w:sz w:val="14"/>
              </w:rPr>
              <w:t>Multas Administrativas, Contratuais e J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Indenizações, Restituições e Ressarcime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Bens, Direitos e Valores Incorporados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Multas e Juros de Mora das Receitas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84" w:lineRule="auto" w:before="1"/>
              <w:ind w:left="515" w:right="1350" w:hanging="155"/>
              <w:jc w:val="left"/>
              <w:rPr>
                <w:sz w:val="14"/>
              </w:rPr>
            </w:pPr>
            <w:r>
              <w:rPr>
                <w:sz w:val="14"/>
              </w:rPr>
              <w:t>RECEITAS DE CAPITAL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  <w:p>
            <w:pPr>
              <w:pStyle w:val="TableParagraph"/>
              <w:spacing w:line="381" w:lineRule="auto" w:before="0"/>
              <w:ind w:left="669" w:right="35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- Mercado Interno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Mercado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Externo</w:t>
            </w:r>
          </w:p>
          <w:p>
            <w:pPr>
              <w:pStyle w:val="TableParagraph"/>
              <w:spacing w:before="1"/>
              <w:ind w:left="515" w:right="0"/>
              <w:jc w:val="left"/>
              <w:rPr>
                <w:sz w:val="14"/>
              </w:rPr>
            </w:pP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54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58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53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54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58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59.346,14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69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73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68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69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73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59.346,14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70"/>
              <w:rPr>
                <w:sz w:val="14"/>
              </w:rPr>
            </w:pPr>
            <w:r>
              <w:rPr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7"/>
              <w:rPr>
                <w:sz w:val="14"/>
              </w:rPr>
            </w:pPr>
            <w:r>
              <w:rPr>
                <w:sz w:val="14"/>
              </w:rPr>
              <w:t>4.519.760,49</w:t>
            </w:r>
          </w:p>
          <w:p>
            <w:pPr>
              <w:pStyle w:val="TableParagraph"/>
              <w:spacing w:before="96"/>
              <w:ind w:right="27"/>
              <w:rPr>
                <w:sz w:val="14"/>
              </w:rPr>
            </w:pPr>
            <w:r>
              <w:rPr>
                <w:sz w:val="14"/>
              </w:rPr>
              <w:t>4.061.545,56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217.392,17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194.464,72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22.927,45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12.832,35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12.832,35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117.233,23</w:t>
            </w:r>
          </w:p>
          <w:p>
            <w:pPr>
              <w:pStyle w:val="TableParagraph"/>
              <w:spacing w:before="97"/>
              <w:ind w:right="30"/>
              <w:rPr>
                <w:sz w:val="14"/>
              </w:rPr>
            </w:pPr>
            <w:r>
              <w:rPr>
                <w:sz w:val="14"/>
              </w:rPr>
              <w:t>73.500,00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43.733,23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1"/>
              <w:rPr>
                <w:sz w:val="14"/>
              </w:rPr>
            </w:pPr>
            <w:r>
              <w:rPr>
                <w:sz w:val="14"/>
              </w:rPr>
              <w:t>6.854,32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6.854,32</w:t>
            </w:r>
          </w:p>
          <w:p>
            <w:pPr>
              <w:pStyle w:val="TableParagraph"/>
              <w:spacing w:before="97"/>
              <w:ind w:right="27"/>
              <w:rPr>
                <w:sz w:val="14"/>
              </w:rPr>
            </w:pPr>
            <w:r>
              <w:rPr>
                <w:sz w:val="14"/>
              </w:rPr>
              <w:t>3.572.894,99</w:t>
            </w:r>
          </w:p>
          <w:p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1.941.216,17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936.115,09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134.338,50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55.025,08</w:t>
            </w:r>
          </w:p>
          <w:p>
            <w:pPr>
              <w:pStyle w:val="TableParagraph"/>
              <w:spacing w:before="96"/>
              <w:ind w:right="33"/>
              <w:rPr>
                <w:sz w:val="14"/>
              </w:rPr>
            </w:pPr>
            <w:r>
              <w:rPr>
                <w:sz w:val="14"/>
              </w:rPr>
              <w:t>740,30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78.573,12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458.214,93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0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11,49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10,52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12,08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11,28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29,69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25,91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25,91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36,87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1.263,41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14,01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5,66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5,66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10,70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13,21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8,67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4,61</w:t>
            </w:r>
          </w:p>
          <w:p>
            <w:pPr>
              <w:pStyle w:val="TableParagraph"/>
              <w:spacing w:before="96"/>
              <w:ind w:right="17"/>
              <w:rPr>
                <w:sz w:val="14"/>
              </w:rPr>
            </w:pPr>
            <w:r>
              <w:rPr>
                <w:sz w:val="14"/>
              </w:rPr>
              <w:t>668,21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1,25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2,76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62,07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9,64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3"/>
              <w:rPr>
                <w:sz w:val="14"/>
              </w:rPr>
            </w:pPr>
            <w:r>
              <w:rPr>
                <w:sz w:val="14"/>
              </w:rPr>
              <w:t>9.139.475,66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8.669.616,56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421.872,62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367.238,79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54.633,83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16.356,08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16.356,08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157.519,85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74.787,00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82.732,85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13.149,78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13.149,78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7.862.749,66</w:t>
            </w:r>
          </w:p>
          <w:p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4.355.914,48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1.988.260,61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197.981,38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55.025,08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26.683,41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116.272,89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469.859,10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0"/>
              <w:rPr>
                <w:sz w:val="14"/>
              </w:rPr>
            </w:pPr>
            <w:r>
              <w:rPr>
                <w:sz w:val="14"/>
              </w:rPr>
              <w:t>23,23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22,46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23,44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21,31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70,74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33,02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33,02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49,55</w:t>
            </w:r>
          </w:p>
          <w:p>
            <w:pPr>
              <w:pStyle w:val="TableParagraph"/>
              <w:spacing w:before="97"/>
              <w:ind w:right="17"/>
              <w:rPr>
                <w:sz w:val="14"/>
              </w:rPr>
            </w:pPr>
            <w:r>
              <w:rPr>
                <w:sz w:val="14"/>
              </w:rPr>
              <w:t>1.285,53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26,51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10,86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10,86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23,55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29,64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18,40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6,79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668,21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44,96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4,08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63,64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9,64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167"/>
              <w:rPr>
                <w:sz w:val="14"/>
              </w:rPr>
            </w:pPr>
            <w:r>
              <w:rPr>
                <w:sz w:val="14"/>
              </w:rPr>
              <w:t>30.195.524,34</w:t>
            </w:r>
          </w:p>
          <w:p>
            <w:pPr>
              <w:pStyle w:val="TableParagraph"/>
              <w:spacing w:before="96"/>
              <w:ind w:right="167"/>
              <w:rPr>
                <w:sz w:val="14"/>
              </w:rPr>
            </w:pPr>
            <w:r>
              <w:rPr>
                <w:sz w:val="14"/>
              </w:rPr>
              <w:t>29.927.127,22</w:t>
            </w:r>
          </w:p>
          <w:p>
            <w:pPr>
              <w:pStyle w:val="TableParagraph"/>
              <w:spacing w:before="97"/>
              <w:ind w:right="169"/>
              <w:rPr>
                <w:sz w:val="14"/>
              </w:rPr>
            </w:pPr>
            <w:r>
              <w:rPr>
                <w:sz w:val="14"/>
              </w:rPr>
              <w:t>1.377.939,09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1.356.170,48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22.592,93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33.172,62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33.172,62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160.402,48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-68.969,42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229.371,90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107.970,94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107.969,94</w:t>
            </w:r>
          </w:p>
          <w:p>
            <w:pPr>
              <w:pStyle w:val="TableParagraph"/>
              <w:spacing w:before="97"/>
              <w:ind w:right="167"/>
              <w:rPr>
                <w:sz w:val="14"/>
              </w:rPr>
            </w:pPr>
            <w:r>
              <w:rPr>
                <w:sz w:val="14"/>
              </w:rPr>
              <w:t>25.528.754,90</w:t>
            </w:r>
          </w:p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10.340.444,40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8.814.683,43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2.718.874,38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-46.790,41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32.662,73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2.732.997,06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268.397,12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542.131,00</w:t>
            </w:r>
          </w:p>
        </w:tc>
      </w:tr>
    </w:tbl>
    <w:p>
      <w:pPr>
        <w:pStyle w:val="BodyText"/>
        <w:ind w:left="0"/>
        <w:rPr>
          <w:rFonts w:ascii="Times New Roman"/>
          <w:b w:val="0"/>
          <w:sz w:val="10"/>
        </w:rPr>
      </w:pPr>
    </w:p>
    <w:p>
      <w:pPr>
        <w:pStyle w:val="BodyText"/>
        <w:spacing w:line="20" w:lineRule="exact"/>
        <w:ind w:left="10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49pt;height:.15pt;mso-position-horizontal-relative:char;mso-position-vertical-relative:line" coordorigin="0,0" coordsize="10980,3">
            <v:line style="position:absolute" from="0,1" to="10980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20"/>
          <w:pgMar w:header="1158" w:footer="998" w:top="2940" w:bottom="1180" w:left="180" w:right="380"/>
          <w:pgNumType w:start="1"/>
        </w:sectPr>
      </w:pPr>
    </w:p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 w:right="0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384" w:lineRule="auto" w:before="27"/>
              <w:ind w:left="669" w:right="1026"/>
              <w:jc w:val="left"/>
              <w:rPr>
                <w:sz w:val="14"/>
              </w:rPr>
            </w:pPr>
            <w:r>
              <w:rPr>
                <w:sz w:val="14"/>
              </w:rPr>
              <w:t>Alienação de Bens 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 de Bens Imóveis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Intangíveis</w:t>
            </w:r>
          </w:p>
          <w:p>
            <w:pPr>
              <w:pStyle w:val="TableParagraph"/>
              <w:spacing w:line="159" w:lineRule="exact" w:before="0"/>
              <w:ind w:left="515" w:right="0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</w:p>
          <w:p>
            <w:pPr>
              <w:pStyle w:val="TableParagraph"/>
              <w:spacing w:line="384" w:lineRule="auto" w:before="96"/>
              <w:ind w:left="515" w:right="946" w:firstLine="154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4" w:lineRule="auto" w:before="0"/>
              <w:ind w:left="669" w:right="349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  <w:p>
            <w:pPr>
              <w:pStyle w:val="TableParagraph"/>
              <w:spacing w:line="381" w:lineRule="auto" w:before="0"/>
              <w:ind w:left="515" w:right="785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Transferências de Capital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1" w:lineRule="auto" w:before="0"/>
              <w:ind w:left="669" w:right="225"/>
              <w:jc w:val="left"/>
              <w:rPr>
                <w:sz w:val="14"/>
              </w:rPr>
            </w:pPr>
            <w:r>
              <w:rPr>
                <w:sz w:val="14"/>
              </w:rPr>
              <w:t>Integralização de Capital Social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Remuneração das Disponibilidades do Tes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Resgate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Títulos do Tesouro</w:t>
            </w:r>
          </w:p>
          <w:p>
            <w:pPr>
              <w:pStyle w:val="TableParagraph"/>
              <w:spacing w:before="0"/>
              <w:ind w:left="669" w:right="0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before="126"/>
              <w:ind w:left="32" w:right="0"/>
              <w:jc w:val="left"/>
              <w:rPr>
                <w:sz w:val="14"/>
              </w:rPr>
            </w:pPr>
            <w:r>
              <w:rPr>
                <w:sz w:val="14"/>
              </w:rPr>
              <w:t>RECEITAS (INTRA-ORÇAMENTÁRIAS) (II)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right="56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27"/>
              <w:ind w:right="70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5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5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7"/>
              <w:ind w:right="30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387.871,00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387.871,00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12.473,93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0"/>
              <w:rPr>
                <w:sz w:val="14"/>
              </w:rPr>
            </w:pPr>
            <w:r>
              <w:rPr>
                <w:sz w:val="14"/>
              </w:rPr>
              <w:t>12.473,93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9,65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"/>
              <w:rPr>
                <w:sz w:val="14"/>
              </w:rPr>
            </w:pPr>
            <w:r>
              <w:rPr>
                <w:sz w:val="14"/>
              </w:rPr>
              <w:t>280,57</w:t>
            </w:r>
          </w:p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280,58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124739,30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124739,30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27"/>
              <w:ind w:right="15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387.871,00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387.871,00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24.118,10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24.118,10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right="20"/>
              <w:rPr>
                <w:sz w:val="14"/>
              </w:rPr>
            </w:pPr>
            <w:r>
              <w:rPr>
                <w:sz w:val="14"/>
              </w:rPr>
              <w:t>9,65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280,57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280,58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z w:val="14"/>
              </w:rPr>
              <w:t>241181,00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z w:val="14"/>
              </w:rPr>
              <w:t>241181,00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27"/>
              <w:ind w:right="170"/>
              <w:rPr>
                <w:sz w:val="14"/>
              </w:rPr>
            </w:pPr>
            <w:r>
              <w:rPr>
                <w:sz w:val="14"/>
              </w:rPr>
              <w:t>542.130,00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-249.626,78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-249.632,78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-24.108,10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-24.108,10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 w:right="0"/>
              <w:jc w:val="left"/>
              <w:rPr>
                <w:sz w:val="14"/>
              </w:rPr>
            </w:pPr>
            <w:r>
              <w:rPr>
                <w:sz w:val="14"/>
              </w:rPr>
              <w:t>SUBTOTAL DAS RECEITAS (III) = (I + 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27"/>
              <w:rPr>
                <w:sz w:val="14"/>
              </w:rPr>
            </w:pPr>
            <w:r>
              <w:rPr>
                <w:sz w:val="14"/>
              </w:rPr>
              <w:t>4.519.760,49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sz w:val="14"/>
              </w:rPr>
              <w:t>11,49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3"/>
              <w:rPr>
                <w:sz w:val="14"/>
              </w:rPr>
            </w:pPr>
            <w:r>
              <w:rPr>
                <w:sz w:val="14"/>
              </w:rPr>
              <w:t>9.139.475,66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23,23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60"/>
              <w:rPr>
                <w:sz w:val="14"/>
              </w:rPr>
            </w:pPr>
            <w:r>
              <w:rPr>
                <w:sz w:val="14"/>
              </w:rPr>
              <w:t>30.195.524,34</w:t>
            </w:r>
          </w:p>
        </w:tc>
      </w:tr>
      <w:tr>
        <w:trPr>
          <w:trHeight w:val="2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 w:right="0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CRÉDITO-REFINANCIAMENTOS(IV)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344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295" w:lineRule="auto" w:before="35"/>
              <w:ind w:left="375" w:right="1437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Internas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41"/>
              <w:ind w:left="375" w:right="0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  <w:p>
            <w:pPr>
              <w:pStyle w:val="TableParagraph"/>
              <w:spacing w:line="336" w:lineRule="auto" w:before="48"/>
              <w:ind w:left="375" w:right="1390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Externas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5"/>
              <w:ind w:left="375" w:right="0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</w:tc>
        <w:tc>
          <w:tcPr>
            <w:tcW w:w="1216" w:type="dxa"/>
          </w:tcPr>
          <w:p>
            <w:pPr>
              <w:pStyle w:val="TableParagraph"/>
              <w:spacing w:before="3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3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2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0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853" w:right="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47" w:right="0"/>
              <w:jc w:val="left"/>
              <w:rPr>
                <w:sz w:val="16"/>
              </w:rPr>
            </w:pPr>
            <w:r>
              <w:rPr>
                <w:sz w:val="16"/>
              </w:rPr>
              <w:t>TOTAL DAS RECEITAS (V) = (III + 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81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81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27"/>
              <w:rPr>
                <w:sz w:val="14"/>
              </w:rPr>
            </w:pPr>
            <w:r>
              <w:rPr>
                <w:sz w:val="14"/>
              </w:rPr>
              <w:t>4.519.760,49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11,49</w:t>
            </w:r>
          </w:p>
        </w:tc>
        <w:tc>
          <w:tcPr>
            <w:tcW w:w="1110" w:type="dxa"/>
          </w:tcPr>
          <w:p>
            <w:pPr>
              <w:pStyle w:val="TableParagraph"/>
              <w:spacing w:before="81"/>
              <w:ind w:right="13"/>
              <w:rPr>
                <w:sz w:val="14"/>
              </w:rPr>
            </w:pPr>
            <w:r>
              <w:rPr>
                <w:sz w:val="14"/>
              </w:rPr>
              <w:t>9.139.475,66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20"/>
              <w:rPr>
                <w:sz w:val="14"/>
              </w:rPr>
            </w:pPr>
            <w:r>
              <w:rPr>
                <w:sz w:val="14"/>
              </w:rPr>
              <w:t>23,23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81"/>
              <w:ind w:right="167"/>
              <w:rPr>
                <w:sz w:val="14"/>
              </w:rPr>
            </w:pPr>
            <w:r>
              <w:rPr>
                <w:sz w:val="14"/>
              </w:rPr>
              <w:t>30.195.524,34</w:t>
            </w:r>
          </w:p>
        </w:tc>
      </w:tr>
      <w:tr>
        <w:trPr>
          <w:trHeight w:val="308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DEFICIT (VI)</w:t>
            </w:r>
          </w:p>
        </w:tc>
        <w:tc>
          <w:tcPr>
            <w:tcW w:w="1216" w:type="dxa"/>
          </w:tcPr>
          <w:p>
            <w:pPr>
              <w:pStyle w:val="TableParagraph"/>
              <w:spacing w:line="226" w:lineRule="exact" w:before="63"/>
              <w:ind w:left="81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26" w:lineRule="exact" w:before="63"/>
              <w:ind w:left="49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6" w:lineRule="exact" w:before="63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226" w:lineRule="exact" w:before="63"/>
              <w:ind w:right="1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26" w:lineRule="exact" w:before="63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97" w:right="0"/>
              <w:jc w:val="left"/>
              <w:rPr>
                <w:sz w:val="16"/>
              </w:rPr>
            </w:pPr>
            <w:r>
              <w:rPr>
                <w:sz w:val="16"/>
              </w:rPr>
              <w:t>TOTAL COM DÉFICIT (VII) = (V + VI)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105"/>
              <w:ind w:right="50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105"/>
              <w:ind w:right="66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5"/>
              <w:ind w:right="30"/>
              <w:rPr>
                <w:sz w:val="14"/>
              </w:rPr>
            </w:pPr>
            <w:r>
              <w:rPr>
                <w:sz w:val="14"/>
              </w:rPr>
              <w:t>4.519.760,49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rPr>
                <w:sz w:val="14"/>
              </w:rPr>
            </w:pPr>
            <w:r>
              <w:rPr>
                <w:sz w:val="14"/>
              </w:rPr>
              <w:t>11,49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5"/>
              <w:ind w:right="13"/>
              <w:rPr>
                <w:sz w:val="14"/>
              </w:rPr>
            </w:pPr>
            <w:r>
              <w:rPr>
                <w:sz w:val="14"/>
              </w:rPr>
              <w:t>9.139.475,66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20"/>
              <w:rPr>
                <w:sz w:val="14"/>
              </w:rPr>
            </w:pPr>
            <w:r>
              <w:rPr>
                <w:sz w:val="14"/>
              </w:rPr>
              <w:t>23,23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105"/>
              <w:ind w:right="170"/>
              <w:rPr>
                <w:sz w:val="14"/>
              </w:rPr>
            </w:pPr>
            <w:r>
              <w:rPr>
                <w:sz w:val="14"/>
              </w:rPr>
              <w:t>30.195.524,34</w:t>
            </w:r>
          </w:p>
        </w:tc>
      </w:tr>
      <w:tr>
        <w:trPr>
          <w:trHeight w:val="62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7" w:right="0"/>
              <w:jc w:val="left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EXERCICIOS ANTERIORES</w:t>
            </w:r>
          </w:p>
          <w:p>
            <w:pPr>
              <w:pStyle w:val="TableParagraph"/>
              <w:spacing w:line="198" w:lineRule="exact" w:before="0"/>
              <w:ind w:left="212" w:right="52"/>
              <w:jc w:val="left"/>
              <w:rPr>
                <w:sz w:val="16"/>
              </w:rPr>
            </w:pPr>
            <w:r>
              <w:rPr>
                <w:sz w:val="16"/>
              </w:rPr>
              <w:t>Recursos Arrecadados em Exerc. Ant. - RPPS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Superávit Financeiro</w:t>
            </w:r>
          </w:p>
        </w:tc>
        <w:tc>
          <w:tcPr>
            <w:tcW w:w="1216" w:type="dxa"/>
          </w:tcPr>
          <w:p>
            <w:pPr>
              <w:pStyle w:val="TableParagraph"/>
              <w:spacing w:line="205" w:lineRule="exact" w:before="40"/>
              <w:ind w:left="81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81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81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05" w:lineRule="exact" w:before="40"/>
              <w:ind w:left="49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49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49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 w:before="40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 w:before="61"/>
              <w:ind w:left="387" w:right="0"/>
              <w:jc w:val="left"/>
              <w:rPr>
                <w:sz w:val="14"/>
              </w:rPr>
            </w:pPr>
            <w:r>
              <w:rPr>
                <w:sz w:val="14"/>
              </w:rPr>
              <w:t>257.247,73</w:t>
            </w:r>
          </w:p>
          <w:p>
            <w:pPr>
              <w:pStyle w:val="TableParagraph"/>
              <w:spacing w:line="225" w:lineRule="exact" w:before="0"/>
              <w:ind w:left="58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57" w:lineRule="exact" w:before="0"/>
              <w:ind w:left="387" w:right="0"/>
              <w:jc w:val="left"/>
              <w:rPr>
                <w:sz w:val="14"/>
              </w:rPr>
            </w:pPr>
            <w:r>
              <w:rPr>
                <w:sz w:val="14"/>
              </w:rPr>
              <w:t>257.247,73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05" w:lineRule="exact" w:before="40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spacing w:after="0" w:line="173" w:lineRule="exact"/>
        <w:jc w:val="center"/>
        <w:rPr>
          <w:sz w:val="20"/>
        </w:rPr>
        <w:sectPr>
          <w:pgSz w:w="11900" w:h="16820"/>
          <w:pgMar w:header="1158" w:footer="998" w:top="2940" w:bottom="1180" w:left="180" w:right="380"/>
        </w:sectPr>
      </w:pPr>
    </w:p>
    <w:p>
      <w:pPr>
        <w:spacing w:before="84"/>
        <w:ind w:left="227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19"/>
        <w:ind w:left="227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30"/>
          <w:sz w:val="14"/>
        </w:rPr>
        <w:t> </w:t>
      </w:r>
      <w:r>
        <w:rPr>
          <w:sz w:val="14"/>
        </w:rPr>
        <w:t>Este demonstrativo compõe o Balanço Orçamentário.</w:t>
      </w:r>
    </w:p>
    <w:p>
      <w:pPr>
        <w:spacing w:before="70"/>
        <w:ind w:left="22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sectPr>
      <w:type w:val="continuous"/>
      <w:pgSz w:w="11900" w:h="16820"/>
      <w:pgMar w:top="2940" w:bottom="1180" w:left="180" w:right="380"/>
      <w:cols w:num="2" w:equalWidth="0">
        <w:col w:w="3995" w:space="5934"/>
        <w:col w:w="14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15.632pt;margin-top:780.093811pt;width:89.15pt;height:34.050pt;mso-position-horizontal-relative:page;mso-position-vertical-relative:page;z-index:-16184832" type="#_x0000_t202" filled="false" stroked="false">
          <v:textbox inset="0,0,0,0">
            <w:txbxContent>
              <w:p>
                <w:pPr>
                  <w:pStyle w:val="BodyText"/>
                  <w:spacing w:before="14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4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  <w:p>
                <w:pPr>
                  <w:pStyle w:val="BodyText"/>
                  <w:spacing w:before="55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815994pt;margin-top:780.093811pt;width:160.25pt;height:34.050pt;mso-position-horizontal-relative:page;mso-position-vertical-relative:page;z-index:-16184320" type="#_x0000_t202" filled="false" stroked="false">
          <v:textbox inset="0,0,0,0">
            <w:txbxContent>
              <w:p>
                <w:pPr>
                  <w:pStyle w:val="BodyText"/>
                  <w:spacing w:line="302" w:lineRule="auto" w:before="9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631989pt;margin-top:780.093811pt;width:174pt;height:34.050pt;mso-position-horizontal-relative:page;mso-position-vertical-relative:page;z-index:-16183808" type="#_x0000_t202" filled="false" stroked="false">
          <v:textbox inset="0,0,0,0">
            <w:txbxContent>
              <w:p>
                <w:pPr>
                  <w:pStyle w:val="BodyText"/>
                  <w:spacing w:line="290" w:lineRule="auto" w:before="14"/>
                </w:pPr>
                <w:r>
                  <w:rPr/>
                  <w:t>TÉCNICO EM CONTABILIDADE - CONTADOR</w:t>
                </w:r>
                <w:r>
                  <w:rPr>
                    <w:spacing w:val="-43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17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.072001pt;margin-top:56.899265pt;width:419.4pt;height:91.75pt;mso-position-horizontal-relative:page;mso-position-vertical-relative:page;z-index:-16185856" type="#_x0000_t202" filled="false" stroked="false">
          <v:textbox inset="0,0,0,0">
            <w:txbxContent>
              <w:p>
                <w:pPr>
                  <w:spacing w:line="297" w:lineRule="auto" w:before="13"/>
                  <w:ind w:left="3641" w:right="866" w:hanging="6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16"/>
                  <w:ind w:left="2880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</w:p>
              <w:p>
                <w:pPr>
                  <w:spacing w:line="224" w:lineRule="exact" w:before="0"/>
                  <w:ind w:left="2692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BALANÇO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ORCAMENTÁRIO</w:t>
                </w:r>
              </w:p>
              <w:p>
                <w:pPr>
                  <w:spacing w:line="227" w:lineRule="exact" w:before="0"/>
                  <w:ind w:left="3245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ORÇAMENTOS 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 SEGURIDADE SOCIAL</w:t>
                </w:r>
              </w:p>
              <w:p>
                <w:pPr>
                  <w:spacing w:before="10"/>
                  <w:ind w:left="2867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  <w:p>
                <w:pPr>
                  <w:spacing w:before="1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1 (LRF, Art. 52, inciso I, alíneas “a” do inciso II e § 1º)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607971pt;margin-top:137.709808pt;width:30.05pt;height:10.95pt;mso-position-horizontal-relative:page;mso-position-vertical-relative:page;z-index:-16185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ind w:right="18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RelRecDesp1</dc:subject>
  <dc:title>CW Report</dc:title>
  <dcterms:created xsi:type="dcterms:W3CDTF">2023-05-17T11:21:47Z</dcterms:created>
  <dcterms:modified xsi:type="dcterms:W3CDTF">2023-05-17T11:21:47Z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port471</vt:lpwstr>
  </property>
  <property fmtid="{D5CDD505-2E9C-101B-9397-08002B2CF9AE}" pid="4" name="LastSaved">
    <vt:filetime>2023-05-17T00:00:00Z</vt:filetime>
  </property>
</Properties>
</file>