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3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</w:tc>
        <w:tc>
          <w:tcPr>
            <w:tcW w:w="132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2.339.216,84</w:t>
            </w:r>
          </w:p>
          <w:p>
            <w:pPr>
              <w:pStyle w:val="TableParagraph"/>
              <w:spacing w:before="3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2.976.175,33</w:t>
            </w:r>
          </w:p>
        </w:tc>
        <w:tc>
          <w:tcPr>
            <w:tcW w:w="123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3.284.165,76</w:t>
            </w:r>
          </w:p>
          <w:p>
            <w:pPr>
              <w:pStyle w:val="TableParagraph"/>
              <w:spacing w:before="3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2.385.923,20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  <w:p>
            <w:pPr>
              <w:pStyle w:val="TableParagraph"/>
              <w:spacing w:before="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2.869.538,94</w:t>
            </w:r>
          </w:p>
        </w:tc>
        <w:tc>
          <w:tcPr>
            <w:tcW w:w="133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  <w:p>
            <w:pPr>
              <w:pStyle w:val="TableParagraph"/>
              <w:spacing w:before="3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2.386.459,43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  <w:p>
            <w:pPr>
              <w:pStyle w:val="TableParagraph"/>
              <w:spacing w:before="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2.495.246,04</w:t>
            </w:r>
          </w:p>
        </w:tc>
        <w:tc>
          <w:tcPr>
            <w:tcW w:w="160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  <w:p>
            <w:pPr>
              <w:pStyle w:val="TableParagraph"/>
              <w:spacing w:before="3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2.533.818,98</w:t>
            </w:r>
          </w:p>
        </w:tc>
        <w:tc>
          <w:tcPr>
            <w:tcW w:w="1336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117"/>
              <w:rPr>
                <w:sz w:val="14"/>
              </w:rPr>
            </w:pPr>
            <w:r>
              <w:rPr>
                <w:sz w:val="14"/>
              </w:rPr>
              <w:t>31.278.045,05</w:t>
            </w:r>
          </w:p>
        </w:tc>
        <w:tc>
          <w:tcPr>
            <w:tcW w:w="1242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36"/>
              <w:ind w:right="73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144.499,04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113.983,51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111.845,98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92.634,47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109.996,58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107.395,59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1.430.980,32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155.980,24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177.170,30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141.202,60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92.109,96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93.881,50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90.280,55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IPTU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1.611,74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8"/>
              <w:rPr>
                <w:sz w:val="14"/>
              </w:rPr>
            </w:pPr>
            <w:r>
              <w:rPr>
                <w:sz w:val="14"/>
              </w:rPr>
              <w:t>186,35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74.001,52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38.752,99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28.078,46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2.751,32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1.719,32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9"/>
              <w:rPr>
                <w:sz w:val="14"/>
              </w:rPr>
            </w:pPr>
            <w:r>
              <w:rPr>
                <w:sz w:val="14"/>
              </w:rPr>
              <w:t>901,34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ISS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12.651,32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21.311,33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13.124,51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8.966,70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23.426,65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22.218,47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244.478,04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29.914,86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29.237,58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20.492,92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22.146,53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21.319,89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19.667,28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ITBI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10.450,77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5.767,20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2.360,00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79.234,72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1.240,80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34.521,92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16.255,93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2.226,63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4.384,05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2.027,42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IRRF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111.202,48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77.155,27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88.696,12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61.986,74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65.669,30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73.225,01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885.025,15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66.573,10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62.322,44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89.972,32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58.849,65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64.744,97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64.627,75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84" w:firstLine="154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Contribuições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67"/>
              <w:jc w:val="left"/>
              <w:rPr>
                <w:sz w:val="14"/>
              </w:rPr>
            </w:pPr>
            <w:r>
              <w:rPr>
                <w:sz w:val="14"/>
              </w:rPr>
              <w:t>10.194,47</w:t>
            </w:r>
          </w:p>
          <w:p>
            <w:pPr>
              <w:pStyle w:val="TableParagraph"/>
              <w:spacing w:before="3"/>
              <w:ind w:left="566"/>
              <w:jc w:val="left"/>
              <w:rPr>
                <w:sz w:val="14"/>
              </w:rPr>
            </w:pPr>
            <w:r>
              <w:rPr>
                <w:sz w:val="14"/>
              </w:rPr>
              <w:t>19.498,49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15.516,91</w:t>
            </w:r>
          </w:p>
          <w:p>
            <w:pPr>
              <w:pStyle w:val="TableParagraph"/>
              <w:spacing w:before="3"/>
              <w:ind w:left="506"/>
              <w:jc w:val="left"/>
              <w:rPr>
                <w:sz w:val="14"/>
              </w:rPr>
            </w:pPr>
            <w:r>
              <w:rPr>
                <w:sz w:val="14"/>
              </w:rPr>
              <w:t>23.009,90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10.025,35</w:t>
            </w:r>
          </w:p>
          <w:p>
            <w:pPr>
              <w:pStyle w:val="TableParagraph"/>
              <w:spacing w:before="3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11.730,11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21.681,03</w:t>
            </w:r>
          </w:p>
          <w:p>
            <w:pPr>
              <w:pStyle w:val="TableParagraph"/>
              <w:spacing w:before="3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7.167,83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13.521,69</w:t>
            </w:r>
          </w:p>
          <w:p>
            <w:pPr>
              <w:pStyle w:val="TableParagraph"/>
              <w:spacing w:before="3"/>
              <w:ind w:left="764"/>
              <w:jc w:val="left"/>
              <w:rPr>
                <w:sz w:val="14"/>
              </w:rPr>
            </w:pPr>
            <w:r>
              <w:rPr>
                <w:sz w:val="14"/>
              </w:rPr>
              <w:t>2.531,25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826"/>
              <w:jc w:val="left"/>
              <w:rPr>
                <w:sz w:val="14"/>
              </w:rPr>
            </w:pPr>
            <w:r>
              <w:rPr>
                <w:sz w:val="14"/>
              </w:rPr>
              <w:t>9.405,76</w:t>
            </w:r>
          </w:p>
          <w:p>
            <w:pPr>
              <w:pStyle w:val="TableParagraph"/>
              <w:spacing w:before="3"/>
              <w:ind w:left="826"/>
              <w:jc w:val="left"/>
              <w:rPr>
                <w:sz w:val="14"/>
              </w:rPr>
            </w:pPr>
            <w:r>
              <w:rPr>
                <w:sz w:val="14"/>
              </w:rPr>
              <w:t>3.958,10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35"/>
              <w:rPr>
                <w:sz w:val="14"/>
              </w:rPr>
            </w:pPr>
            <w:r>
              <w:rPr>
                <w:sz w:val="14"/>
              </w:rPr>
              <w:t>148.240,89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52"/>
              <w:ind w:right="91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2.298,87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9.135,53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3.696,82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42.946,23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4.370,55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4.505,58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4.211,59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3.789,70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3.680,38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3.733,48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21.291,56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93.131,34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348.934,58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44.895,40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17.381,55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14.284,38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19.456,48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16.870,13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Aplicação Financeira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20.004,56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19.631,34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246.597,58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17.345,40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17.381,55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14.284,38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19.456,48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16.870,13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Patrimoniais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27.550,00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4.771,61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7.598,40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6"/>
              <w:rPr>
                <w:sz w:val="14"/>
              </w:rPr>
            </w:pPr>
            <w:r>
              <w:rPr>
                <w:sz w:val="14"/>
              </w:rPr>
              <w:t>831,40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5.451,25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4.277,10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2.577,22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33.704,77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1.112,50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2.368,29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1.139,20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1.076,90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9"/>
              <w:rPr>
                <w:sz w:val="14"/>
              </w:rPr>
            </w:pPr>
            <w:r>
              <w:rPr>
                <w:sz w:val="14"/>
              </w:rPr>
              <w:t>952,30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1.548,60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2.367.113,85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2.652.258,38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2.020.633,28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2.160.628,12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28.914.177,70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37.307.579,55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2.616.148,87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2.134.895,73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2.691.603,11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2.245.804,79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2.364.374,15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2.401.025,94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FPM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1.165.856,01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1.811.506,45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1.174.089,32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1.567.076,53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958.652,59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1.096.039,07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14.428.037,48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13.249.945,98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1.218.423,40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1.137.998,32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1.418.941,18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970.762,57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989.594,09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919.097,95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391.360,37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475.813,76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389.536,33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319.098,35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338.348,05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420.338,25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4.999.248,72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482.636,32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382.930,66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411.131,24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437.972,19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434.468,13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515.615,07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2.277,99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129.272,90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129.813,94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60.272,24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103.092,42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117.689,70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662.070,92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66.156,86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23.496,50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12.476,31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7.893,48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5.723,08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3.905,50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ITR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146,91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71,64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9"/>
              <w:rPr>
                <w:sz w:val="14"/>
              </w:rPr>
            </w:pPr>
            <w:r>
              <w:rPr>
                <w:sz w:val="14"/>
              </w:rPr>
              <w:t>22,34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0"/>
              <w:rPr>
                <w:sz w:val="14"/>
              </w:rPr>
            </w:pPr>
            <w:r>
              <w:rPr>
                <w:sz w:val="14"/>
              </w:rPr>
              <w:t>15,12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8"/>
              <w:rPr>
                <w:sz w:val="14"/>
              </w:rPr>
            </w:pPr>
            <w:r>
              <w:rPr>
                <w:sz w:val="14"/>
              </w:rPr>
              <w:t>228,62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10.799,37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39,34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47,14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355,08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4.643,61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5.229,57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LC 61/1989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4.977,69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2.702,46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3.403,28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4.026,26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41.257,51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3.715,73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4.211,50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4.344,04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3.623,76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3.857,60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6.395,19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FUNDEB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379.360,34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467.419,18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476.723,89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346.286,95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315.717,48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379.846,25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4.699.940,45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471.433,57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342.610,89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355.967,12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379.404,88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355.007,92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430.161,98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208.523,60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228.082,33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191.972,68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356.799,51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301.404,34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142.459,97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4.072.823,25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11.362.450,10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373.782,99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243.608,52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488.696,08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445.792,83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571.079,72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520.620,68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15.228,13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14.020,03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45.545,08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18.097,80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63.932,53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70.405,97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507.301,45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</w:tc>
      </w:tr>
      <w:tr>
        <w:trPr>
          <w:trHeight w:val="15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153.667,77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94"/>
              <w:rPr>
                <w:sz w:val="14"/>
              </w:rPr>
            </w:pPr>
            <w:r>
              <w:rPr>
                <w:sz w:val="14"/>
              </w:rPr>
              <w:t>49.748,04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14.000,89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06"/>
              <w:rPr>
                <w:sz w:val="14"/>
              </w:rPr>
            </w:pPr>
            <w:r>
              <w:rPr>
                <w:sz w:val="14"/>
              </w:rPr>
              <w:t>29.393,70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37"/>
              <w:rPr>
                <w:sz w:val="14"/>
              </w:rPr>
            </w:pPr>
            <w:r>
              <w:rPr>
                <w:sz w:val="14"/>
              </w:rPr>
              <w:t>12.901,23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225"/>
              <w:rPr>
                <w:sz w:val="14"/>
              </w:rPr>
            </w:pPr>
            <w:r>
              <w:rPr>
                <w:sz w:val="14"/>
              </w:rPr>
              <w:t>20.360,28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5"/>
          <w:type w:val="continuous"/>
          <w:pgSz w:w="16820" w:h="11900" w:orient="landscape"/>
          <w:pgMar w:header="664" w:top="2100" w:bottom="280" w:left="600" w:right="1580"/>
          <w:pgNumType w:start="1"/>
        </w:sectPr>
      </w:pPr>
    </w:p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231" w:type="dxa"/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334" w:type="dxa"/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  <w:p>
            <w:pPr>
              <w:pStyle w:val="TableParagraph"/>
              <w:spacing w:before="3"/>
              <w:ind w:left="488"/>
              <w:jc w:val="left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  <w:p>
            <w:pPr>
              <w:pStyle w:val="TableParagraph"/>
              <w:spacing w:before="3"/>
              <w:ind w:left="428"/>
              <w:jc w:val="left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  <w:p>
            <w:pPr>
              <w:pStyle w:val="TableParagraph"/>
              <w:spacing w:before="3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256.740,08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  <w:p>
            <w:pPr>
              <w:pStyle w:val="TableParagraph"/>
              <w:spacing w:before="3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288.226,19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  <w:p>
            <w:pPr>
              <w:pStyle w:val="TableParagraph"/>
              <w:spacing w:before="3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262.957,40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  <w:p>
            <w:pPr>
              <w:pStyle w:val="TableParagraph"/>
              <w:spacing w:before="3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294.831,89</w:t>
            </w:r>
          </w:p>
        </w:tc>
        <w:tc>
          <w:tcPr>
            <w:tcW w:w="133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3.788.568,69</w:t>
            </w:r>
          </w:p>
        </w:tc>
        <w:tc>
          <w:tcPr>
            <w:tcW w:w="124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para o Plano de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Financ. entre Regimes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 w:right="670"/>
              <w:jc w:val="left"/>
              <w:rPr>
                <w:sz w:val="14"/>
              </w:rPr>
            </w:pPr>
            <w:r>
              <w:rPr>
                <w:sz w:val="14"/>
              </w:rPr>
              <w:t>Rendimentos de Aplicações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Previdenciários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para Formação do FUNDEB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77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8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0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3.788.568,69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256.740,08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0"/>
              <w:rPr>
                <w:sz w:val="14"/>
              </w:rPr>
            </w:pPr>
            <w:r>
              <w:rPr>
                <w:sz w:val="14"/>
              </w:rPr>
              <w:t>288.226,19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8"/>
              <w:rPr>
                <w:sz w:val="14"/>
              </w:rPr>
            </w:pPr>
            <w:r>
              <w:rPr>
                <w:sz w:val="14"/>
              </w:rPr>
              <w:t>262.957,40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0"/>
              <w:rPr>
                <w:sz w:val="14"/>
              </w:rPr>
            </w:pPr>
            <w:r>
              <w:rPr>
                <w:sz w:val="14"/>
              </w:rPr>
              <w:t>294.831,89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4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1"/>
              <w:ind w:left="181" w:right="148"/>
              <w:jc w:val="left"/>
              <w:rPr>
                <w:sz w:val="14"/>
              </w:rPr>
            </w:pPr>
            <w:r>
              <w:rPr>
                <w:sz w:val="14"/>
              </w:rPr>
              <w:t>Transferênciasdo Governo Federal destinadas ao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vencimento 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ACS e dos ACE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6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(I - 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4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75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7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89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17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208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94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27.489.476,36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4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136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4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75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7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89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17"/>
              <w:rPr>
                <w:sz w:val="14"/>
              </w:rPr>
            </w:pPr>
            <w:r>
              <w:rPr>
                <w:sz w:val="14"/>
              </w:rPr>
              <w:t>2.232.288,64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208"/>
              <w:rPr>
                <w:sz w:val="14"/>
              </w:rPr>
            </w:pPr>
            <w:r>
              <w:rPr>
                <w:sz w:val="14"/>
              </w:rPr>
              <w:t>2.238.987,09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5" w:lineRule="auto" w:before="58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individuais (art. 166-A, § 1º, da CF) (IV)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51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51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51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51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51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2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 DE ENDIVIDAMENTO (V) = (III - 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2.232.288,64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2.238.987,09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27.489.476,36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3" w:lineRule="auto" w:before="29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bancada (art. 166, § 16, da CF) (VI)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1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 CÁLCUL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DESPESA COM PESSOAL (VII) = (V - 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2.232.288,64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2.238.987,09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27.489.476,36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664" w:footer="0" w:top="2100" w:bottom="280" w:left="600" w:right="1580"/>
        </w:sectPr>
      </w:pPr>
    </w:p>
    <w:p>
      <w:pPr>
        <w:spacing w:line="155" w:lineRule="exact" w:before="8"/>
        <w:ind w:left="118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155" w:lineRule="exact" w:before="0"/>
        <w:ind w:left="118" w:right="0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pStyle w:val="BodyText"/>
        <w:spacing w:line="182" w:lineRule="exact" w:before="111"/>
        <w:ind w:left="225"/>
      </w:pPr>
      <w:r>
        <w:rPr/>
        <w:t>PREFEITO</w:t>
      </w:r>
    </w:p>
    <w:p>
      <w:pPr>
        <w:pStyle w:val="BodyText"/>
        <w:spacing w:line="235" w:lineRule="auto" w:before="1"/>
        <w:ind w:left="225" w:right="20"/>
      </w:pPr>
      <w:r>
        <w:rPr/>
        <w:t>JOEL SANTOS SUBDA</w:t>
      </w:r>
      <w:r>
        <w:rPr>
          <w:spacing w:val="-43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5" w:lineRule="auto"/>
        <w:ind w:left="118" w:right="21"/>
      </w:pPr>
      <w:r>
        <w:rPr/>
        <w:t>RESPONSAVEL PELA ADM. FINANCEIRA</w:t>
      </w:r>
      <w:r>
        <w:rPr>
          <w:spacing w:val="-42"/>
        </w:rPr>
        <w:t> </w:t>
      </w:r>
      <w:r>
        <w:rPr/>
        <w:t>PALOMA BIERHALS VENZKE SILVEIRA</w:t>
      </w:r>
      <w:r>
        <w:rPr>
          <w:spacing w:val="1"/>
        </w:rPr>
        <w:t> </w:t>
      </w:r>
      <w:r>
        <w:rPr/>
        <w:t>CPF</w:t>
      </w:r>
      <w:r>
        <w:rPr>
          <w:spacing w:val="-1"/>
        </w:rPr>
        <w:t> </w:t>
      </w:r>
      <w:r>
        <w:rPr/>
        <w:t>033.231.730-74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182" w:lineRule="exact"/>
        <w:ind w:left="118"/>
      </w:pPr>
      <w:r>
        <w:rPr/>
        <w:t>CONTADOR</w:t>
      </w:r>
    </w:p>
    <w:p>
      <w:pPr>
        <w:pStyle w:val="BodyText"/>
        <w:spacing w:line="235" w:lineRule="auto" w:before="1"/>
        <w:ind w:left="118" w:right="20"/>
      </w:pPr>
      <w:r>
        <w:rPr/>
        <w:t>NORTON HARTWIG IWEN</w:t>
      </w:r>
      <w:r>
        <w:rPr>
          <w:spacing w:val="-43"/>
        </w:rPr>
        <w:t> </w:t>
      </w:r>
      <w:r>
        <w:rPr/>
        <w:t>CRC/RS</w:t>
      </w:r>
      <w:r>
        <w:rPr>
          <w:spacing w:val="-1"/>
        </w:rPr>
        <w:t> </w:t>
      </w:r>
      <w:r>
        <w:rPr/>
        <w:t>098694/0-8</w:t>
      </w:r>
    </w:p>
    <w:p>
      <w:pPr>
        <w:spacing w:line="178" w:lineRule="exact" w:before="0"/>
        <w:ind w:left="1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6820" w:h="11900" w:orient="landscape"/>
      <w:pgMar w:top="2100" w:bottom="280" w:left="600" w:right="1580"/>
      <w:cols w:num="4" w:equalWidth="0">
        <w:col w:w="2008" w:space="3107"/>
        <w:col w:w="3324" w:space="2062"/>
        <w:col w:w="2123" w:space="746"/>
        <w:col w:w="12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35999pt;margin-top:32.203266pt;width:275.4pt;height:73.9pt;mso-position-horizontal-relative:page;mso-position-vertical-relative:page;z-index:-16602624" type="#_x0000_t202" filled="false" stroked="false">
          <v:textbox inset="0,0,0,0">
            <w:txbxContent>
              <w:p>
                <w:pPr>
                  <w:spacing w:line="232" w:lineRule="auto" w:before="19"/>
                  <w:ind w:left="820" w:right="807" w:hanging="25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66" w:lineRule="auto" w:before="10"/>
                  <w:ind w:left="20" w:right="1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ORCAMENTÁRIA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 DA RECEITA CORRENTE LÍQUIDA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SOCIAL</w:t>
                </w:r>
              </w:p>
              <w:p>
                <w:pPr>
                  <w:tabs>
                    <w:tab w:pos="2338" w:val="left" w:leader="none"/>
                  </w:tabs>
                  <w:spacing w:line="216" w:lineRule="exact" w:before="0"/>
                  <w:ind w:left="113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01.11.2022</w:t>
                  <w:tab/>
                  <w:t>a</w:t>
                </w:r>
                <w:r>
                  <w:rPr>
                    <w:rFonts w:ascii="Arial"/>
                    <w:b/>
                    <w:spacing w:val="7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31.10.2023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95.73381pt;width:148.75pt;height:10.95pt;mso-position-horizontal-relative:page;mso-position-vertical-relative:page;z-index:-1660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3 (LRF, Art. 53, inciso 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3.671997pt;margin-top:95.73381pt;width:30.05pt;height:10.95pt;mso-position-horizontal-relative:page;mso-position-vertical-relative:page;z-index:-16601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0" w:hanging="25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RelIncisoIVArt2Lei101</dc:subject>
  <dc:title>CW Report</dc:title>
  <dcterms:created xsi:type="dcterms:W3CDTF">2023-11-27T19:14:27Z</dcterms:created>
  <dcterms:modified xsi:type="dcterms:W3CDTF">2023-11-27T19:14:27Z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