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  <w:r>
        <w:rPr/>
        <w:pict>
          <v:line style="position:absolute;mso-position-horizontal-relative:page;mso-position-vertical-relative:page;z-index:-16126464" from="22.392pt,82.512001pt" to="583.992pt,82.512001pt" stroked="true" strokeweight=".119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5594"/>
      </w:tblGrid>
      <w:tr>
        <w:trPr>
          <w:trHeight w:val="1304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4"/>
              <w:ind w:left="761" w:right="81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BALANÇO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ORÇAMENTÁRIO</w:t>
            </w:r>
          </w:p>
          <w:p>
            <w:pPr>
              <w:pStyle w:val="TableParagraph"/>
              <w:spacing w:before="65"/>
              <w:ind w:left="191"/>
              <w:rPr>
                <w:sz w:val="12"/>
              </w:rPr>
            </w:pPr>
            <w:r>
              <w:rPr>
                <w:sz w:val="12"/>
              </w:rPr>
              <w:t>RECEITAS</w:t>
            </w:r>
          </w:p>
          <w:p>
            <w:pPr>
              <w:pStyle w:val="TableParagraph"/>
              <w:spacing w:line="264" w:lineRule="auto" w:before="6"/>
              <w:ind w:left="504" w:right="4054"/>
              <w:rPr>
                <w:sz w:val="12"/>
              </w:rPr>
            </w:pPr>
            <w:r>
              <w:rPr>
                <w:sz w:val="12"/>
              </w:rPr>
              <w:t>Previsão Inicial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Previsão Atualizada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Receitas </w:t>
            </w:r>
            <w:r>
              <w:rPr>
                <w:sz w:val="12"/>
              </w:rPr>
              <w:t>Realizadas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Déficit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  <w:p>
            <w:pPr>
              <w:pStyle w:val="TableParagraph"/>
              <w:spacing w:line="131" w:lineRule="exact"/>
              <w:ind w:left="504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  <w:p>
            <w:pPr>
              <w:pStyle w:val="TableParagraph"/>
              <w:spacing w:line="128" w:lineRule="exact" w:before="17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2138" w:right="2437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4"/>
              <w:ind w:left="2232" w:right="2326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232" w:right="2326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232" w:right="2326"/>
              <w:jc w:val="center"/>
              <w:rPr>
                <w:sz w:val="12"/>
              </w:rPr>
            </w:pPr>
            <w:r>
              <w:rPr>
                <w:sz w:val="12"/>
              </w:rPr>
              <w:t>14.510.867,11</w:t>
            </w:r>
          </w:p>
          <w:p>
            <w:pPr>
              <w:pStyle w:val="TableParagraph"/>
              <w:spacing w:line="136" w:lineRule="exact" w:before="28"/>
              <w:ind w:right="245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2456"/>
              <w:jc w:val="right"/>
              <w:rPr>
                <w:sz w:val="12"/>
              </w:rPr>
            </w:pPr>
            <w:r>
              <w:rPr>
                <w:sz w:val="12"/>
              </w:rPr>
              <w:t>257.247,73</w:t>
            </w:r>
          </w:p>
        </w:tc>
      </w:tr>
      <w:tr>
        <w:trPr>
          <w:trHeight w:val="15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4" w:lineRule="exact" w:before="9"/>
              <w:ind w:left="504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</w:tc>
      </w:tr>
      <w:tr>
        <w:trPr>
          <w:trHeight w:val="14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Adicionais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9" w:lineRule="exact" w:before="1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1.210.814,93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19" w:lineRule="exact" w:before="12"/>
              <w:ind w:left="505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1" w:lineRule="exact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40.545.814,93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11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16.395.802,44</w:t>
            </w:r>
          </w:p>
        </w:tc>
      </w:tr>
      <w:tr>
        <w:trPr>
          <w:trHeight w:val="14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13.404.747,05</w:t>
            </w:r>
          </w:p>
        </w:tc>
      </w:tr>
      <w:tr>
        <w:trPr>
          <w:trHeight w:val="151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</w:tc>
        <w:tc>
          <w:tcPr>
            <w:tcW w:w="55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13.047.063,94</w:t>
            </w:r>
          </w:p>
        </w:tc>
      </w:tr>
      <w:tr>
        <w:trPr>
          <w:trHeight w:val="143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505"/>
              <w:rPr>
                <w:sz w:val="12"/>
              </w:rPr>
            </w:pPr>
            <w:r>
              <w:rPr>
                <w:sz w:val="12"/>
              </w:rPr>
              <w:t>Superávit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2457"/>
              <w:jc w:val="right"/>
              <w:rPr>
                <w:sz w:val="12"/>
              </w:rPr>
            </w:pPr>
            <w:r>
              <w:rPr>
                <w:sz w:val="12"/>
              </w:rPr>
              <w:t>1.106.120,06</w:t>
            </w:r>
          </w:p>
        </w:tc>
      </w:tr>
      <w:tr>
        <w:trPr>
          <w:trHeight w:val="45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28" w:lineRule="exact" w:before="26"/>
              <w:ind w:left="165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 FUNÇÃO / SUBFUNÇÃO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18" w:lineRule="exact" w:before="36"/>
              <w:ind w:left="2251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82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39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16.395.802,44</w:t>
            </w:r>
          </w:p>
        </w:tc>
      </w:tr>
      <w:tr>
        <w:trPr>
          <w:trHeight w:val="172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19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13.404.747,05</w:t>
            </w:r>
          </w:p>
        </w:tc>
      </w:tr>
      <w:tr>
        <w:trPr>
          <w:trHeight w:val="58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175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CORRENTE LÍQUIDA - RCL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2244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206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27.298.028,78</w:t>
            </w: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 Ajustada para Cálculo dos Limites de Endividamento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27.298.028,78</w:t>
            </w:r>
          </w:p>
        </w:tc>
      </w:tr>
      <w:tr>
        <w:trPr>
          <w:trHeight w:val="218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62"/>
              <w:ind w:left="191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 Líquida Ajustada para Cálculo dos Limites da Despesa com Pesso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line="136" w:lineRule="exact" w:before="62"/>
              <w:ind w:right="2458"/>
              <w:jc w:val="right"/>
              <w:rPr>
                <w:sz w:val="12"/>
              </w:rPr>
            </w:pPr>
            <w:r>
              <w:rPr>
                <w:sz w:val="12"/>
              </w:rPr>
              <w:t>27.298.028,78</w:t>
            </w:r>
          </w:p>
        </w:tc>
      </w:tr>
      <w:tr>
        <w:trPr>
          <w:trHeight w:val="85" w:hRule="atLeast"/>
        </w:trPr>
        <w:tc>
          <w:tcPr>
            <w:tcW w:w="566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89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33"/>
              <w:ind w:left="4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 DESPESAS DO REGIME PRÓPRIO DE PREVIDÊNCIA DOS SERVIDORES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spacing w:before="19"/>
              <w:ind w:left="2251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21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232" w:lineRule="auto" w:before="54"/>
              <w:ind w:left="505" w:right="1384" w:hanging="314"/>
              <w:rPr>
                <w:sz w:val="12"/>
              </w:rPr>
            </w:pPr>
            <w:r>
              <w:rPr>
                <w:sz w:val="12"/>
              </w:rPr>
              <w:t>Regime Próprio de Previdência dos Servidores - PLANO PREVIDENCIÁRIO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Receitas Previdenciárias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Realizadas(I)</w:t>
            </w:r>
          </w:p>
          <w:p>
            <w:pPr>
              <w:pStyle w:val="TableParagraph"/>
              <w:spacing w:line="232" w:lineRule="auto" w:before="18"/>
              <w:ind w:left="505" w:right="2957"/>
              <w:rPr>
                <w:sz w:val="12"/>
              </w:rPr>
            </w:pPr>
            <w:r>
              <w:rPr>
                <w:sz w:val="12"/>
              </w:rPr>
              <w:t>Despesas Previdenciárias Liquidadas (II)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(III) = (I-II)</w:t>
            </w:r>
          </w:p>
          <w:p>
            <w:pPr>
              <w:pStyle w:val="TableParagraph"/>
              <w:spacing w:before="12"/>
              <w:ind w:left="505" w:right="1671" w:hanging="314"/>
              <w:rPr>
                <w:sz w:val="12"/>
              </w:rPr>
            </w:pPr>
            <w:r>
              <w:rPr>
                <w:sz w:val="12"/>
              </w:rPr>
              <w:t>Regime Próprio de Previdência dos Servidores - PLANO FINANCEIRO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Receitas Previdenciárias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 (IV)</w:t>
            </w:r>
          </w:p>
          <w:p>
            <w:pPr>
              <w:pStyle w:val="TableParagraph"/>
              <w:spacing w:line="133" w:lineRule="exact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Previdenciárias Liquidadas (V)</w:t>
            </w:r>
          </w:p>
          <w:p>
            <w:pPr>
              <w:pStyle w:val="TableParagraph"/>
              <w:spacing w:before="13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(VI) = (IV-V)</w:t>
            </w:r>
          </w:p>
        </w:tc>
        <w:tc>
          <w:tcPr>
            <w:tcW w:w="559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4"/>
              <w:ind w:left="2232" w:right="178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 w:after="1"/>
        <w:rPr>
          <w:rFonts w:ascii="Times New Roman"/>
          <w:sz w:val="8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3044"/>
      </w:tblGrid>
      <w:tr>
        <w:trPr>
          <w:trHeight w:val="52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70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NOMINAL E PRIMÁRIO</w:t>
            </w:r>
          </w:p>
        </w:tc>
        <w:tc>
          <w:tcPr>
            <w:tcW w:w="1304" w:type="dxa"/>
          </w:tcPr>
          <w:p>
            <w:pPr>
              <w:pStyle w:val="TableParagraph"/>
              <w:spacing w:line="283" w:lineRule="auto" w:before="34"/>
              <w:ind w:left="315" w:right="291"/>
              <w:jc w:val="center"/>
              <w:rPr>
                <w:sz w:val="10"/>
              </w:rPr>
            </w:pPr>
            <w:r>
              <w:rPr>
                <w:sz w:val="10"/>
              </w:rPr>
              <w:t>Meta Fixada no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AMF da LDO</w:t>
            </w:r>
          </w:p>
          <w:p>
            <w:pPr>
              <w:pStyle w:val="TableParagraph"/>
              <w:spacing w:line="113" w:lineRule="exact"/>
              <w:ind w:left="315" w:right="267"/>
              <w:jc w:val="center"/>
              <w:rPr>
                <w:sz w:val="10"/>
              </w:rPr>
            </w:pPr>
            <w:r>
              <w:rPr>
                <w:sz w:val="10"/>
              </w:rPr>
              <w:t>(a)</w:t>
            </w:r>
          </w:p>
        </w:tc>
        <w:tc>
          <w:tcPr>
            <w:tcW w:w="1245" w:type="dxa"/>
          </w:tcPr>
          <w:p>
            <w:pPr>
              <w:pStyle w:val="TableParagraph"/>
              <w:spacing w:line="283" w:lineRule="auto" w:before="34"/>
              <w:ind w:left="305" w:right="223" w:hanging="155"/>
              <w:rPr>
                <w:sz w:val="10"/>
              </w:rPr>
            </w:pPr>
            <w:r>
              <w:rPr>
                <w:spacing w:val="-1"/>
                <w:sz w:val="10"/>
              </w:rPr>
              <w:t>Resultado </w:t>
            </w:r>
            <w:r>
              <w:rPr>
                <w:sz w:val="10"/>
              </w:rPr>
              <w:t>Apurado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Até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 bimestre</w:t>
            </w:r>
          </w:p>
          <w:p>
            <w:pPr>
              <w:pStyle w:val="TableParagraph"/>
              <w:spacing w:line="113" w:lineRule="exact"/>
              <w:ind w:left="568"/>
              <w:rPr>
                <w:sz w:val="10"/>
              </w:rPr>
            </w:pPr>
            <w:r>
              <w:rPr>
                <w:sz w:val="10"/>
              </w:rPr>
              <w:t>(b)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78" w:lineRule="auto"/>
              <w:ind w:left="1366" w:right="1095" w:hanging="424"/>
              <w:rPr>
                <w:sz w:val="10"/>
              </w:rPr>
            </w:pPr>
            <w:r>
              <w:rPr>
                <w:sz w:val="10"/>
              </w:rPr>
              <w:t>% em Relação à Meta</w:t>
            </w:r>
            <w:r>
              <w:rPr>
                <w:spacing w:val="-25"/>
                <w:sz w:val="10"/>
              </w:rPr>
              <w:t> </w:t>
            </w:r>
            <w:r>
              <w:rPr>
                <w:sz w:val="10"/>
              </w:rPr>
              <w:t>(b/a)</w:t>
            </w:r>
          </w:p>
        </w:tc>
      </w:tr>
      <w:tr>
        <w:trPr>
          <w:trHeight w:val="17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31"/>
              <w:ind w:left="192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Nominal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31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-298.066,46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31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-612.857,12</w:t>
            </w:r>
          </w:p>
        </w:tc>
        <w:tc>
          <w:tcPr>
            <w:tcW w:w="304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31"/>
              <w:ind w:right="1164"/>
              <w:jc w:val="right"/>
              <w:rPr>
                <w:sz w:val="12"/>
              </w:rPr>
            </w:pPr>
            <w:r>
              <w:rPr>
                <w:sz w:val="12"/>
              </w:rPr>
              <w:t>205,61</w:t>
            </w:r>
          </w:p>
        </w:tc>
      </w:tr>
      <w:tr>
        <w:trPr>
          <w:trHeight w:val="175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92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Primário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-298.066,46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-771.503,10</w:t>
            </w:r>
          </w:p>
        </w:tc>
        <w:tc>
          <w:tcPr>
            <w:tcW w:w="304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right="1164"/>
              <w:jc w:val="right"/>
              <w:rPr>
                <w:sz w:val="12"/>
              </w:rPr>
            </w:pPr>
            <w:r>
              <w:rPr>
                <w:sz w:val="12"/>
              </w:rPr>
              <w:t>258,84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1303"/>
        <w:gridCol w:w="1741"/>
      </w:tblGrid>
      <w:tr>
        <w:trPr>
          <w:trHeight w:val="38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RESTOS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 PAGAR POR PODER E MINISTÉRIO PÚBLICO</w:t>
            </w:r>
          </w:p>
        </w:tc>
        <w:tc>
          <w:tcPr>
            <w:tcW w:w="1304" w:type="dxa"/>
          </w:tcPr>
          <w:p>
            <w:pPr>
              <w:pStyle w:val="TableParagraph"/>
              <w:spacing w:before="45"/>
              <w:ind w:left="439"/>
              <w:rPr>
                <w:sz w:val="12"/>
              </w:rPr>
            </w:pPr>
            <w:r>
              <w:rPr>
                <w:sz w:val="12"/>
              </w:rPr>
              <w:t>Inscrição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ind w:left="348" w:right="80" w:hanging="169"/>
              <w:rPr>
                <w:sz w:val="12"/>
              </w:rPr>
            </w:pPr>
            <w:r>
              <w:rPr>
                <w:spacing w:val="-1"/>
                <w:sz w:val="12"/>
              </w:rPr>
              <w:t>Cancelamento </w:t>
            </w:r>
            <w:r>
              <w:rPr>
                <w:sz w:val="12"/>
              </w:rPr>
              <w:t>até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303" w:type="dxa"/>
          </w:tcPr>
          <w:p>
            <w:pPr>
              <w:pStyle w:val="TableParagraph"/>
              <w:spacing w:before="48"/>
              <w:ind w:left="481" w:right="50" w:hanging="227"/>
              <w:rPr>
                <w:sz w:val="12"/>
              </w:rPr>
            </w:pPr>
            <w:r>
              <w:rPr>
                <w:sz w:val="12"/>
              </w:rPr>
              <w:t>Pagamentos até 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618" w:right="711" w:firstLine="18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pagar</w:t>
            </w:r>
          </w:p>
        </w:tc>
      </w:tr>
      <w:tr>
        <w:trPr>
          <w:trHeight w:val="201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2"/>
              <w:ind w:left="192"/>
              <w:rPr>
                <w:sz w:val="12"/>
              </w:rPr>
            </w:pPr>
            <w:r>
              <w:rPr>
                <w:sz w:val="12"/>
              </w:rPr>
              <w:t>RESTOS A PAGAR PROCESSADOS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1.737.663,76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2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1.164.543,13</w:t>
            </w:r>
          </w:p>
        </w:tc>
        <w:tc>
          <w:tcPr>
            <w:tcW w:w="174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1"/>
              <w:ind w:right="431"/>
              <w:jc w:val="right"/>
              <w:rPr>
                <w:sz w:val="12"/>
              </w:rPr>
            </w:pPr>
            <w:r>
              <w:rPr>
                <w:sz w:val="12"/>
              </w:rPr>
              <w:t>573.120,63</w:t>
            </w:r>
          </w:p>
        </w:tc>
      </w:tr>
      <w:tr>
        <w:trPr>
          <w:trHeight w:val="150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executivo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1.711.137,34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7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1.139.953,02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7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571.184,32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Legislativo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6"/>
              <w:jc w:val="right"/>
              <w:rPr>
                <w:sz w:val="12"/>
              </w:rPr>
            </w:pPr>
            <w:r>
              <w:rPr>
                <w:sz w:val="12"/>
              </w:rPr>
              <w:t>26.526,42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4"/>
              <w:jc w:val="right"/>
              <w:rPr>
                <w:sz w:val="12"/>
              </w:rPr>
            </w:pPr>
            <w:r>
              <w:rPr>
                <w:sz w:val="12"/>
              </w:rPr>
              <w:t>24.590,11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1.936,31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Judiciário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Público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RESTOS A PAGAR NÃO PROCESSADOS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364.819,21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27.125,17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9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297.449,63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19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40.244,41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Executivo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364.610,94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25.188,86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297.241,36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33"/>
              <w:jc w:val="right"/>
              <w:rPr>
                <w:sz w:val="12"/>
              </w:rPr>
            </w:pPr>
            <w:r>
              <w:rPr>
                <w:sz w:val="12"/>
              </w:rPr>
              <w:t>42.180,72</w:t>
            </w:r>
          </w:p>
        </w:tc>
      </w:tr>
      <w:tr>
        <w:trPr>
          <w:trHeight w:val="162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Legislativo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208,27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98"/>
              <w:jc w:val="right"/>
              <w:rPr>
                <w:sz w:val="12"/>
              </w:rPr>
            </w:pPr>
            <w:r>
              <w:rPr>
                <w:sz w:val="12"/>
              </w:rPr>
              <w:t>1.936,31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5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208,27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7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-1.936,31</w:t>
            </w:r>
          </w:p>
        </w:tc>
      </w:tr>
      <w:tr>
        <w:trPr>
          <w:trHeight w:val="168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5" w:lineRule="exact" w:before="13"/>
              <w:ind w:left="505"/>
              <w:rPr>
                <w:sz w:val="12"/>
              </w:rPr>
            </w:pPr>
            <w:r>
              <w:rPr>
                <w:sz w:val="12"/>
              </w:rPr>
              <w:t>Poder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Judiciário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505"/>
              <w:rPr>
                <w:sz w:val="12"/>
              </w:rPr>
            </w:pPr>
            <w:r>
              <w:rPr>
                <w:sz w:val="12"/>
              </w:rPr>
              <w:t>Ministério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Público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spacing w:before="36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2.102.482,97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27.125,17</w:t>
            </w:r>
          </w:p>
        </w:tc>
        <w:tc>
          <w:tcPr>
            <w:tcW w:w="1303" w:type="dxa"/>
          </w:tcPr>
          <w:p>
            <w:pPr>
              <w:pStyle w:val="TableParagraph"/>
              <w:spacing w:before="36"/>
              <w:ind w:right="155"/>
              <w:jc w:val="right"/>
              <w:rPr>
                <w:sz w:val="12"/>
              </w:rPr>
            </w:pPr>
            <w:r>
              <w:rPr>
                <w:sz w:val="12"/>
              </w:rPr>
              <w:t>1.461.992,76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434"/>
              <w:jc w:val="right"/>
              <w:rPr>
                <w:sz w:val="12"/>
              </w:rPr>
            </w:pPr>
            <w:r>
              <w:rPr>
                <w:sz w:val="12"/>
              </w:rPr>
              <w:t>613.365,04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395"/>
        <w:gridCol w:w="909"/>
        <w:gridCol w:w="1245"/>
        <w:gridCol w:w="2930"/>
        <w:gridCol w:w="113"/>
      </w:tblGrid>
      <w:tr>
        <w:trPr>
          <w:trHeight w:val="206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0"/>
              <w:ind w:left="157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4" w:type="dxa"/>
            <w:gridSpan w:val="2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20" w:firstLine="25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5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4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1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213" w:lineRule="auto" w:before="60"/>
              <w:ind w:left="330" w:right="52" w:hanging="196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0" w:type="dxa"/>
            <w:tcBorders>
              <w:right w:val="nil"/>
            </w:tcBorders>
          </w:tcPr>
          <w:p>
            <w:pPr>
              <w:pStyle w:val="TableParagraph"/>
              <w:spacing w:line="223" w:lineRule="auto" w:before="50"/>
              <w:ind w:left="999" w:right="1112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1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9"/>
              <w:ind w:left="19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&lt; 18% / 25%&gt; das Receitas de Impostos em MDE</w:t>
            </w:r>
          </w:p>
        </w:tc>
        <w:tc>
          <w:tcPr>
            <w:tcW w:w="39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59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4.027.431,62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59"/>
              <w:ind w:left="386" w:right="297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/ 25%&gt;</w:t>
            </w:r>
          </w:p>
        </w:tc>
        <w:tc>
          <w:tcPr>
            <w:tcW w:w="304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59"/>
              <w:ind w:left="1602" w:right="1096"/>
              <w:jc w:val="center"/>
              <w:rPr>
                <w:sz w:val="12"/>
              </w:rPr>
            </w:pPr>
            <w:r>
              <w:rPr>
                <w:sz w:val="12"/>
              </w:rPr>
              <w:t>37,76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 Magistério com Ensino Fundamental e Médio</w:t>
            </w: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2.052.143,45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60%</w:t>
            </w:r>
          </w:p>
        </w:tc>
        <w:tc>
          <w:tcPr>
            <w:tcW w:w="30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1602" w:right="1096"/>
              <w:jc w:val="center"/>
              <w:rPr>
                <w:sz w:val="12"/>
              </w:rPr>
            </w:pPr>
            <w:r>
              <w:rPr>
                <w:sz w:val="12"/>
              </w:rPr>
              <w:t>86,95</w:t>
            </w: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 w:right="-72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na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Magistério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Educ.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Infantil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Fundam</w:t>
            </w: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59"/>
              <w:rPr>
                <w:sz w:val="12"/>
              </w:rPr>
            </w:pPr>
            <w:r>
              <w:rPr>
                <w:sz w:val="12"/>
              </w:rPr>
              <w:t>ental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60%</w:t>
            </w:r>
          </w:p>
        </w:tc>
        <w:tc>
          <w:tcPr>
            <w:tcW w:w="304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left="1603" w:right="1029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5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92"/>
              <w:rPr>
                <w:sz w:val="12"/>
              </w:rPr>
            </w:pPr>
            <w:r>
              <w:rPr>
                <w:sz w:val="12"/>
              </w:rPr>
              <w:t>Complementação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União ao FUNDEB – Mínimo Anual de 10% do Total de Recursos do FUNDEB</w:t>
            </w:r>
          </w:p>
        </w:tc>
        <w:tc>
          <w:tcPr>
            <w:tcW w:w="39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86" w:right="209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304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50"/>
        <w:gridCol w:w="3044"/>
      </w:tblGrid>
      <w:tr>
        <w:trPr>
          <w:trHeight w:val="520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23"/>
              <w:ind w:left="81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OPERAÇÕES DE CRÉDITO E DESPESAS DE CAPITAL</w:t>
            </w:r>
          </w:p>
          <w:p>
            <w:pPr>
              <w:pStyle w:val="TableParagraph"/>
              <w:spacing w:line="150" w:lineRule="atLeast" w:before="19"/>
              <w:ind w:left="192" w:right="3687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Operação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Crédito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 LÍquida</w:t>
            </w:r>
          </w:p>
        </w:tc>
        <w:tc>
          <w:tcPr>
            <w:tcW w:w="2550" w:type="dxa"/>
          </w:tcPr>
          <w:p>
            <w:pPr>
              <w:pStyle w:val="TableParagraph"/>
              <w:spacing w:before="23"/>
              <w:ind w:left="547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até o Bimestre</w:t>
            </w:r>
          </w:p>
          <w:p>
            <w:pPr>
              <w:pStyle w:val="TableParagraph"/>
              <w:spacing w:before="31"/>
              <w:ind w:left="1266"/>
              <w:rPr>
                <w:sz w:val="12"/>
              </w:rPr>
            </w:pPr>
            <w:r>
              <w:rPr>
                <w:sz w:val="12"/>
              </w:rPr>
              <w:t>656.000,00</w:t>
            </w:r>
          </w:p>
          <w:p>
            <w:pPr>
              <w:pStyle w:val="TableParagraph"/>
              <w:spacing w:before="17"/>
              <w:ind w:left="1266"/>
              <w:rPr>
                <w:sz w:val="12"/>
              </w:rPr>
            </w:pPr>
            <w:r>
              <w:rPr>
                <w:sz w:val="12"/>
              </w:rPr>
              <w:t>360.277,98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23"/>
              <w:ind w:right="1082"/>
              <w:jc w:val="right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Realizado</w:t>
            </w:r>
          </w:p>
          <w:p>
            <w:pPr>
              <w:pStyle w:val="TableParagraph"/>
              <w:spacing w:before="31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-655.999,00</w:t>
            </w:r>
          </w:p>
          <w:p>
            <w:pPr>
              <w:pStyle w:val="TableParagraph"/>
              <w:spacing w:before="17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6.335.845,63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1303"/>
        <w:gridCol w:w="1741"/>
      </w:tblGrid>
      <w:tr>
        <w:trPr>
          <w:trHeight w:val="35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1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PROJEÇÃO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ATUARIAL DOS REGIMES DE PREVIDÊNCIA</w:t>
            </w:r>
          </w:p>
        </w:tc>
        <w:tc>
          <w:tcPr>
            <w:tcW w:w="1304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z w:val="12"/>
              </w:rPr>
              <w:t>Exercício</w:t>
            </w:r>
          </w:p>
        </w:tc>
        <w:tc>
          <w:tcPr>
            <w:tcW w:w="1245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87"/>
              <w:rPr>
                <w:sz w:val="12"/>
              </w:rPr>
            </w:pPr>
            <w:r>
              <w:rPr>
                <w:sz w:val="12"/>
              </w:rPr>
              <w:t>10º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1303" w:type="dxa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327"/>
              <w:rPr>
                <w:sz w:val="12"/>
              </w:rPr>
            </w:pPr>
            <w:r>
              <w:rPr>
                <w:sz w:val="12"/>
              </w:rPr>
              <w:t>20º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403"/>
              <w:rPr>
                <w:sz w:val="12"/>
              </w:rPr>
            </w:pPr>
            <w:r>
              <w:rPr>
                <w:sz w:val="12"/>
              </w:rPr>
              <w:t>35º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</w:tc>
      </w:tr>
      <w:tr>
        <w:trPr>
          <w:trHeight w:val="169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3" w:lineRule="exact" w:before="26"/>
              <w:ind w:left="192"/>
              <w:rPr>
                <w:sz w:val="12"/>
              </w:rPr>
            </w:pPr>
            <w:r>
              <w:rPr>
                <w:sz w:val="12"/>
              </w:rPr>
              <w:t>Plano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3" w:lineRule="exact" w:before="1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3" w:lineRule="exact" w:before="1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Previdênciário (III) = (I-II)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Plano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Financeiro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5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Previdênciárias (IV)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left="505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Previdenciárias (V)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505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Previdenciário (VI) - (IV-V)</w:t>
            </w:r>
          </w:p>
        </w:tc>
        <w:tc>
          <w:tcPr>
            <w:tcW w:w="130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2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03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4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right="46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after="1"/>
        <w:rPr>
          <w:rFonts w:ascii="Times New Roman"/>
          <w:sz w:val="6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2550"/>
        <w:gridCol w:w="3044"/>
      </w:tblGrid>
      <w:tr>
        <w:trPr>
          <w:trHeight w:val="203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761" w:right="83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ALIENAÇÃO DE ATIVOS E APLICAÇÃO DOS RECURSOS</w:t>
            </w:r>
          </w:p>
        </w:tc>
        <w:tc>
          <w:tcPr>
            <w:tcW w:w="2550" w:type="dxa"/>
          </w:tcPr>
          <w:p>
            <w:pPr>
              <w:pStyle w:val="TableParagraph"/>
              <w:spacing w:before="33"/>
              <w:ind w:left="579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até o bimestre</w:t>
            </w:r>
          </w:p>
        </w:tc>
        <w:tc>
          <w:tcPr>
            <w:tcW w:w="3044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928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Realizar</w:t>
            </w:r>
          </w:p>
        </w:tc>
      </w:tr>
      <w:tr>
        <w:trPr>
          <w:trHeight w:val="190" w:hRule="atLeast"/>
        </w:trPr>
        <w:tc>
          <w:tcPr>
            <w:tcW w:w="566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9" w:lineRule="exact" w:before="41"/>
              <w:ind w:left="192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Capital Resultante de Alienação de Ativos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129" w:lineRule="exact" w:before="41"/>
              <w:ind w:left="1309"/>
              <w:rPr>
                <w:sz w:val="12"/>
              </w:rPr>
            </w:pPr>
            <w:r>
              <w:rPr>
                <w:sz w:val="12"/>
              </w:rPr>
              <w:t>57.870,00</w:t>
            </w:r>
          </w:p>
        </w:tc>
        <w:tc>
          <w:tcPr>
            <w:tcW w:w="304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9" w:lineRule="exact" w:before="41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542.131,00</w:t>
            </w:r>
          </w:p>
        </w:tc>
      </w:tr>
      <w:tr>
        <w:trPr>
          <w:trHeight w:val="164" w:hRule="atLeast"/>
        </w:trPr>
        <w:tc>
          <w:tcPr>
            <w:tcW w:w="56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7" w:lineRule="exact" w:before="7"/>
              <w:ind w:left="192"/>
              <w:rPr>
                <w:sz w:val="12"/>
              </w:rPr>
            </w:pPr>
            <w:r>
              <w:rPr>
                <w:sz w:val="12"/>
              </w:rPr>
              <w:t>Aplicação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dos Recursos de Alienação de Ativos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spacing w:line="137" w:lineRule="exact" w:before="7"/>
              <w:ind w:left="1241"/>
              <w:rPr>
                <w:sz w:val="12"/>
              </w:rPr>
            </w:pPr>
            <w:r>
              <w:rPr>
                <w:sz w:val="12"/>
              </w:rPr>
              <w:t>202.520,23</w:t>
            </w:r>
          </w:p>
        </w:tc>
        <w:tc>
          <w:tcPr>
            <w:tcW w:w="30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7" w:lineRule="exact" w:before="7"/>
              <w:ind w:right="1119"/>
              <w:jc w:val="right"/>
              <w:rPr>
                <w:sz w:val="12"/>
              </w:rPr>
            </w:pPr>
            <w:r>
              <w:rPr>
                <w:sz w:val="12"/>
              </w:rPr>
              <w:t>6.335.845,63</w:t>
            </w:r>
          </w:p>
        </w:tc>
      </w:tr>
    </w:tbl>
    <w:p>
      <w:pPr>
        <w:pStyle w:val="BodyText"/>
        <w:spacing w:before="6"/>
        <w:rPr>
          <w:rFonts w:ascii="Times New Roman"/>
          <w:sz w:val="7"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6"/>
        <w:gridCol w:w="1304"/>
        <w:gridCol w:w="1245"/>
        <w:gridCol w:w="3074"/>
      </w:tblGrid>
      <w:tr>
        <w:trPr>
          <w:trHeight w:val="175" w:hRule="atLeast"/>
        </w:trPr>
        <w:tc>
          <w:tcPr>
            <w:tcW w:w="566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0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spacing w:line="312" w:lineRule="auto" w:before="67"/>
              <w:ind w:left="277" w:right="223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1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2"/>
              <w:ind w:left="924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6" w:hRule="atLeast"/>
        </w:trPr>
        <w:tc>
          <w:tcPr>
            <w:tcW w:w="56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134" w:lineRule="exact" w:before="38"/>
              <w:ind w:left="271" w:right="74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737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21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92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4" w:type="dxa"/>
          </w:tcPr>
          <w:p>
            <w:pPr>
              <w:pStyle w:val="TableParagraph"/>
              <w:spacing w:before="52"/>
              <w:ind w:left="468"/>
              <w:rPr>
                <w:sz w:val="12"/>
              </w:rPr>
            </w:pPr>
            <w:r>
              <w:rPr>
                <w:sz w:val="12"/>
              </w:rPr>
              <w:t>2.403.170,39</w:t>
            </w:r>
          </w:p>
        </w:tc>
        <w:tc>
          <w:tcPr>
            <w:tcW w:w="1245" w:type="dxa"/>
          </w:tcPr>
          <w:p>
            <w:pPr>
              <w:pStyle w:val="TableParagraph"/>
              <w:spacing w:before="52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4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1603" w:right="1128"/>
              <w:jc w:val="center"/>
              <w:rPr>
                <w:sz w:val="12"/>
              </w:rPr>
            </w:pPr>
            <w:r>
              <w:rPr>
                <w:sz w:val="12"/>
              </w:rPr>
              <w:t>22,53</w:t>
            </w:r>
          </w:p>
        </w:tc>
      </w:tr>
      <w:tr>
        <w:trPr>
          <w:trHeight w:val="234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before="55"/>
              <w:ind w:left="92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CARÁTER CONTINUADO DERIVADAS DE PPP</w:t>
            </w:r>
          </w:p>
        </w:tc>
        <w:tc>
          <w:tcPr>
            <w:tcW w:w="562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49"/>
              <w:ind w:left="1738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Apurado no Exercício Corrente</w:t>
            </w:r>
          </w:p>
        </w:tc>
      </w:tr>
      <w:tr>
        <w:trPr>
          <w:trHeight w:val="175" w:hRule="atLeast"/>
        </w:trPr>
        <w:tc>
          <w:tcPr>
            <w:tcW w:w="5666" w:type="dxa"/>
            <w:tcBorders>
              <w:left w:val="nil"/>
            </w:tcBorders>
          </w:tcPr>
          <w:p>
            <w:pPr>
              <w:pStyle w:val="TableParagraph"/>
              <w:spacing w:line="136" w:lineRule="exact" w:before="19"/>
              <w:ind w:left="192"/>
              <w:rPr>
                <w:sz w:val="12"/>
              </w:rPr>
            </w:pP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Despesas/RCL (%)</w:t>
            </w:r>
          </w:p>
        </w:tc>
        <w:tc>
          <w:tcPr>
            <w:tcW w:w="5623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ind w:left="160"/>
      </w:pPr>
      <w:r>
        <w:rPr/>
        <w:t>Fonte: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254" w:footer="602" w:top="1360" w:bottom="800" w:left="320" w:right="80"/>
          <w:pgNumType w:start="1"/>
        </w:sectPr>
      </w:pPr>
    </w:p>
    <w:p>
      <w:pPr>
        <w:pStyle w:val="BodyText"/>
        <w:spacing w:line="247" w:lineRule="auto" w:before="84"/>
        <w:ind w:left="185" w:right="556"/>
      </w:pP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Resumido da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 do</w:t>
      </w:r>
      <w:r>
        <w:rPr>
          <w:spacing w:val="-1"/>
        </w:rPr>
        <w:t> </w:t>
      </w:r>
      <w:r>
        <w:rPr/>
        <w:t>bimestre maio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junho/2023, bem</w:t>
      </w:r>
      <w:r>
        <w:rPr>
          <w:spacing w:val="-1"/>
        </w:rPr>
        <w:t> </w:t>
      </w:r>
      <w:r>
        <w:rPr/>
        <w:t>como, 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Gestão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1º semestre</w:t>
      </w:r>
      <w:r>
        <w:rPr>
          <w:spacing w:val="-1"/>
        </w:rPr>
        <w:t> </w:t>
      </w:r>
      <w:r>
        <w:rPr/>
        <w:t>de 2023,</w:t>
      </w:r>
      <w:r>
        <w:rPr>
          <w:spacing w:val="-1"/>
        </w:rPr>
        <w:t> </w:t>
      </w:r>
      <w:r>
        <w:rPr/>
        <w:t>encontram-se</w:t>
      </w:r>
      <w:r>
        <w:rPr>
          <w:spacing w:val="-1"/>
        </w:rPr>
        <w:t> </w:t>
      </w:r>
      <w:r>
        <w:rPr/>
        <w:t>afixados no</w:t>
      </w:r>
      <w:r>
        <w:rPr>
          <w:spacing w:val="-1"/>
        </w:rPr>
        <w:t> </w:t>
      </w:r>
      <w:r>
        <w:rPr/>
        <w:t>mural da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Municipal, na</w:t>
      </w:r>
      <w:r>
        <w:rPr>
          <w:spacing w:val="-31"/>
        </w:rPr>
        <w:t> </w:t>
      </w:r>
      <w:r>
        <w:rPr/>
        <w:t>Avenida 28 de dezembro, 3000,</w:t>
      </w:r>
      <w:r>
        <w:rPr>
          <w:spacing w:val="1"/>
        </w:rPr>
        <w:t> </w:t>
      </w:r>
      <w:r>
        <w:rPr/>
        <w:t>centro respectivamente, no horário das 08:00 às 12:00 horas e das 13:00 às 17:00 horas a contar de 28 de Julho de 2023, bem como,</w:t>
      </w:r>
      <w:r>
        <w:rPr>
          <w:spacing w:val="1"/>
        </w:rPr>
        <w:t> </w:t>
      </w:r>
      <w:r>
        <w:rPr/>
        <w:t>https://chuvisca.rs.gov.br/site/contaspublicas</w:t>
      </w:r>
    </w:p>
    <w:sectPr>
      <w:pgSz w:w="11900" w:h="16820"/>
      <w:pgMar w:header="254" w:footer="602" w:top="1360" w:bottom="80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2.976pt;margin-top:799.920349pt;width:67.350pt;height:22.55pt;mso-position-horizontal-relative:page;mso-position-vertical-relative:page;z-index:-16124928" type="#_x0000_t202" filled="false" stroked="false">
          <v:textbox inset="0,0,0,0">
            <w:txbxContent>
              <w:p>
                <w:pPr>
                  <w:spacing w:line="133" w:lineRule="exact"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PREFEITO</w:t>
                </w:r>
              </w:p>
              <w:p>
                <w:pPr>
                  <w:spacing w:line="256" w:lineRule="auto" w:before="0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JOEL SANTOS SUBDA</w:t>
                </w:r>
                <w:r>
                  <w:rPr>
                    <w:rFonts w:asci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7.727997pt;margin-top:799.920349pt;width:120.7pt;height:22.55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line="240" w:lineRule="auto"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RESPONSAVEL PELA ADM. FINANCEIRA</w:t>
                </w:r>
                <w:r>
                  <w:rPr>
                    <w:rFonts w:asci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PALOMA BIERHALS VENZKE SILVEIRA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CPF 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9.920349pt;width:75.7pt;height:22.55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line="133" w:lineRule="exact"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CONTADOR</w:t>
                </w:r>
              </w:p>
              <w:p>
                <w:pPr>
                  <w:spacing w:line="256" w:lineRule="auto" w:before="0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>NORTON HARTWIG IWEN</w:t>
                </w:r>
                <w:r>
                  <w:rPr>
                    <w:rFonts w:ascii="Arial"/>
                    <w:b/>
                    <w:spacing w:val="-32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> </w:t>
                </w:r>
                <w:r>
                  <w:rPr>
                    <w:rFonts w:ascii="Arial"/>
                    <w:b/>
                    <w:sz w:val="12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3.136002pt;margin-top:11.709812pt;width:370pt;height:57.4pt;mso-position-horizontal-relative:page;mso-position-vertical-relative:page;z-index:-16126464" type="#_x0000_t202" filled="false" stroked="false">
          <v:textbox inset="0,0,0,0">
            <w:txbxContent>
              <w:p>
                <w:pPr>
                  <w:spacing w:line="254" w:lineRule="auto" w:before="14"/>
                  <w:ind w:left="2138" w:right="2157" w:hanging="19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66" w:lineRule="exact" w:before="0"/>
                  <w:ind w:left="0" w:right="37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82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SIMPLIFICADO DO RELATÓRIO RESUMIDO DA EXECUÇÃO ORCAMENTÁRIA</w:t>
                </w:r>
              </w:p>
              <w:p>
                <w:pPr>
                  <w:spacing w:line="182" w:lineRule="exact" w:before="11"/>
                  <w:ind w:left="0" w:right="47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line="182" w:lineRule="exact" w:before="0"/>
                  <w:ind w:left="0" w:right="38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3º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.695999pt;margin-top:56.709812pt;width:87.85pt;height:10.95pt;mso-position-horizontal-relative:page;mso-position-vertical-relative:page;z-index:-161259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LRF,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Art. 48 – Anexo 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55981pt;margin-top:58.149811pt;width:30.05pt;height:10.95pt;mso-position-horizontal-relative:page;mso-position-vertical-relative:page;z-index:-161254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</dc:subject>
  <dc:title>CW Report</dc:title>
  <dcterms:created xsi:type="dcterms:W3CDTF">2023-07-27T14:57:34Z</dcterms:created>
  <dcterms:modified xsi:type="dcterms:W3CDTF">2023-07-27T14:57:34Z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2023-07-27T00:00:00Z</vt:filetime>
  </property>
</Properties>
</file>