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56e462954a4b80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eb8fac1df9fc4f3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002806/2025       </w:t>
      </w:r>
      <w:r>
        <w:rPr>
          <w:b/>
        </w:rPr>
        <w:t xml:space="preserve">Data Emissão: </w:t>
      </w:r>
      <w:r>
        <w:t xml:space="preserve">24/10/2025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INFRAESTRUTURA URBANA E RURAL</w:t>
      </w:r>
    </w:p>
    <w:p>
      <w:pPr>
        <w:jc w:val="left"/>
      </w:pPr>
      <w:r>
        <w:rPr>
          <w:b/>
        </w:rPr>
        <w:t xml:space="preserve">Objeto: </w:t>
      </w:r>
      <w:r>
        <w:t xml:space="preserve">AQUISIÇÃO DE UM RADIADOR PARA A RETROESCAVADEIRA RANDON 406. MÁQUINA MUITO UTILIZADA PELA SIUR PARA OS SERVIÇOS DE CONSERTO DE BOEIROS E SARGETAS.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PC   01211138 RADIADOR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eb8fac1df9fc4f38" /><Relationship Type="http://schemas.openxmlformats.org/officeDocument/2006/relationships/styles" Target="/word/styles.xml" Id="R16674b92b2494f59" /></Relationships>
</file>