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  <w:u w:val="single"/>
        </w:rPr>
      </w:pPr>
      <w:bookmarkStart w:id="0" w:name="processo-administrativo-nº-___2026"/>
      <w:r>
        <w:rPr>
          <w:b/>
          <w:sz w:val="28"/>
          <w:szCs w:val="28"/>
          <w:u w:val="single"/>
        </w:rPr>
        <w:t>PROCESSO ADMINISTRATIVO Nº 0</w:t>
      </w:r>
      <w:r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/2026</w:t>
      </w:r>
    </w:p>
    <w:p>
      <w:pPr>
        <w:pStyle w:val="Normal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bookmarkStart w:id="1" w:name="dispensa-de-licitação-nº-___2026"/>
      <w:bookmarkEnd w:id="1"/>
      <w:r>
        <w:rPr>
          <w:b/>
          <w:sz w:val="28"/>
          <w:szCs w:val="28"/>
        </w:rPr>
        <w:t>DISPENSA DE LICITAÇÃO Nº 0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/2026</w:t>
      </w:r>
    </w:p>
    <w:p>
      <w:pPr>
        <w:pStyle w:val="FirstParagraph"/>
        <w:ind w:firstLine="1418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 Consórcio Intermunicipal de Saúde – COIS, por intermédio de seu Presidente, no uso de suas atribuições legais, torna público que realizará </w:t>
      </w:r>
      <w:r>
        <w:rPr>
          <w:rFonts w:cs="Calibri" w:ascii="Calibri" w:hAnsi="Calibri"/>
          <w:b/>
          <w:bCs/>
        </w:rPr>
        <w:t>DISPENSA DE LICITAÇÃO</w:t>
      </w:r>
      <w:r>
        <w:rPr>
          <w:rFonts w:cs="Calibri" w:ascii="Calibri" w:hAnsi="Calibri"/>
        </w:rPr>
        <w:t xml:space="preserve">, com critério de julgamento </w:t>
      </w:r>
      <w:r>
        <w:rPr>
          <w:rFonts w:cs="Calibri" w:ascii="Calibri" w:hAnsi="Calibri"/>
          <w:b/>
          <w:bCs/>
        </w:rPr>
        <w:t>menor preço global</w:t>
      </w:r>
      <w:r>
        <w:rPr>
          <w:rFonts w:cs="Calibri" w:ascii="Calibri" w:hAnsi="Calibri"/>
        </w:rPr>
        <w:t xml:space="preserve">, nos termos do </w:t>
      </w:r>
      <w:r>
        <w:rPr>
          <w:rFonts w:cs="Calibri" w:ascii="Calibri" w:hAnsi="Calibri"/>
          <w:b/>
          <w:bCs/>
        </w:rPr>
        <w:t>art. 75, inciso II, da Lei Federal nº 14.133/2021</w:t>
      </w:r>
      <w:r>
        <w:rPr>
          <w:rFonts w:cs="Calibri" w:ascii="Calibri" w:hAnsi="Calibri"/>
        </w:rPr>
        <w:t>, e conforme as exigências estabelecidas neste instrumento, objetivando a contratação descrita a seguir.</w:t>
      </w:r>
    </w:p>
    <w:tbl>
      <w:tblPr>
        <w:tblW w:w="9467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099"/>
        <w:gridCol w:w="4367"/>
      </w:tblGrid>
      <w:tr>
        <w:trPr/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b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  <w:t>Data limite para apresentação da proposta e documentação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 xml:space="preserve">Dia </w:t>
            </w:r>
            <w:r>
              <w:rPr>
                <w:rFonts w:cs="Calibri" w:ascii="Calibri" w:hAnsi="Calibri"/>
                <w:szCs w:val="24"/>
              </w:rPr>
              <w:t>8</w:t>
            </w:r>
            <w:r>
              <w:rPr>
                <w:rFonts w:cs="Calibri" w:ascii="Calibri" w:hAnsi="Calibri"/>
                <w:szCs w:val="24"/>
              </w:rPr>
              <w:t>/0</w:t>
            </w:r>
            <w:r>
              <w:rPr>
                <w:rFonts w:cs="Calibri" w:ascii="Calibri" w:hAnsi="Calibri"/>
                <w:szCs w:val="24"/>
              </w:rPr>
              <w:t>5</w:t>
            </w:r>
            <w:r>
              <w:rPr>
                <w:rFonts w:cs="Calibri" w:ascii="Calibri" w:hAnsi="Calibri"/>
                <w:szCs w:val="24"/>
              </w:rPr>
              <w:t>/2026, às 17:30 horas (horário de Brasília-DF)</w:t>
            </w:r>
          </w:p>
        </w:tc>
      </w:tr>
      <w:tr>
        <w:trPr/>
        <w:tc>
          <w:tcPr>
            <w:tcW w:w="50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b/>
                <w:b/>
                <w:szCs w:val="24"/>
              </w:rPr>
            </w:pPr>
            <w:r>
              <w:rPr>
                <w:rFonts w:cs="Calibri" w:ascii="Calibri" w:hAnsi="Calibri"/>
                <w:b/>
                <w:szCs w:val="24"/>
              </w:rPr>
              <w:t>Endereço para envios da proposta e documentação</w:t>
            </w:r>
          </w:p>
        </w:tc>
        <w:tc>
          <w:tcPr>
            <w:tcW w:w="4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Deverá ser entregue na sede do COIS, na Rua General Portinho, nº 1560, centro, cidade de São Luiz Gonzaga-RS, CEP 97.800-000, no horários das 8:00 as 11:30 e das 14:00 as 17:30, em dias úteis ou pelo E-mail:  aconsorciointermunicipal@gmail.com, até da data limite.</w:t>
            </w:r>
          </w:p>
        </w:tc>
      </w:tr>
      <w:tr>
        <w:trPr/>
        <w:tc>
          <w:tcPr>
            <w:tcW w:w="50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szCs w:val="24"/>
              </w:rPr>
              <w:t>Endereço eletrônico do Edital</w:t>
            </w:r>
          </w:p>
        </w:tc>
        <w:tc>
          <w:tcPr>
            <w:tcW w:w="43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andard"/>
              <w:widowControl w:val="false"/>
              <w:ind w:right="6" w:hanging="0"/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cs="Calibri" w:ascii="Calibri" w:hAnsi="Calibri"/>
                <w:b/>
                <w:szCs w:val="24"/>
                <w:u w:val="single" w:color="0000FF"/>
              </w:rPr>
              <w:t>www.cois.saoluizgonzaga.rs.gov.br</w:t>
            </w:r>
          </w:p>
        </w:tc>
      </w:tr>
    </w:tbl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551170" cy="2159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5550480" cy="2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98000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7pt;width:437pt;height:1.6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bookmarkStart w:id="2" w:name="dispensa-de-licitação-nº-___2026"/>
      <w:bookmarkStart w:id="3" w:name="do-objeto"/>
      <w:bookmarkEnd w:id="2"/>
      <w:bookmarkEnd w:id="3"/>
      <w:r>
        <w:rPr>
          <w:rFonts w:cs="Calibri" w:ascii="Calibri" w:hAnsi="Calibri"/>
          <w:b/>
          <w:sz w:val="28"/>
          <w:szCs w:val="28"/>
        </w:rPr>
        <w:t>1 – DO OBJETO</w:t>
      </w:r>
    </w:p>
    <w:p>
      <w:pPr>
        <w:pStyle w:val="FirstParagraph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Contratação de empresa especializada para fornecimento e instalação de divisórias internas, em imóvel já locado pelo Consórcio, destinado ao funcionamento de consultório para atendimentos de psicologia, com a finalidade de separação física dos ambientes de atendimentos e sala de espera, garantindo privacidade, funcionalidade e adequação ao uso profissional.</w:t>
      </w:r>
    </w:p>
    <w:p>
      <w:pPr>
        <w:pStyle w:val="NormalWeb"/>
        <w:spacing w:before="280" w:after="280"/>
        <w:rPr>
          <w:rStyle w:val="Strong"/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sz w:val="28"/>
          <w:szCs w:val="28"/>
        </w:rPr>
      </w:r>
      <w:bookmarkStart w:id="4" w:name="do-objeto"/>
      <w:bookmarkStart w:id="5" w:name="da-dotação-orçamentária"/>
      <w:bookmarkStart w:id="6" w:name="do-objeto"/>
      <w:bookmarkStart w:id="7" w:name="da-dotação-orçamentária"/>
      <w:bookmarkEnd w:id="6"/>
      <w:bookmarkEnd w:id="7"/>
    </w:p>
    <w:p>
      <w:pPr>
        <w:pStyle w:val="NormalWeb"/>
        <w:spacing w:before="280" w:after="280"/>
        <w:rPr>
          <w:rStyle w:val="Strong"/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sz w:val="28"/>
          <w:szCs w:val="28"/>
        </w:rPr>
      </w:r>
    </w:p>
    <w:p>
      <w:pPr>
        <w:pStyle w:val="NormalWeb"/>
        <w:spacing w:before="280" w:after="280"/>
        <w:rPr>
          <w:rStyle w:val="Strong"/>
          <w:rFonts w:ascii="Calibri" w:hAnsi="Calibri" w:cs="Calibri"/>
          <w:sz w:val="28"/>
          <w:szCs w:val="28"/>
        </w:rPr>
      </w:pPr>
      <w:r>
        <w:rPr>
          <w:rFonts w:cs="Calibri" w:ascii="Calibri" w:hAnsi="Calibri"/>
          <w:sz w:val="28"/>
          <w:szCs w:val="28"/>
        </w:rPr>
      </w:r>
    </w:p>
    <w:p>
      <w:pPr>
        <w:pStyle w:val="NormalWeb"/>
        <w:spacing w:before="280" w:after="280"/>
        <w:rPr>
          <w:rFonts w:ascii="Calibri" w:hAnsi="Calibri" w:cs="Calibri"/>
          <w:sz w:val="28"/>
          <w:szCs w:val="28"/>
        </w:rPr>
      </w:pPr>
      <w:r>
        <w:rPr>
          <w:rStyle w:val="Strong"/>
          <w:rFonts w:cs="Calibri" w:ascii="Calibri" w:hAnsi="Calibri"/>
          <w:sz w:val="28"/>
          <w:szCs w:val="28"/>
        </w:rPr>
        <w:t>2 – DA JUSTIFICATIVA</w:t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>O Consórcio Intermunicipal de Saúde – COIS dispõe de imóvel locado destinado à implantação de consultório para a realização de atendimentos psicológicos aos munícipes dos entes consorciados.</w:t>
      </w:r>
    </w:p>
    <w:p>
      <w:pPr>
        <w:pStyle w:val="Normal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>Para garantir condições adequadas à prestação dos serviços, faz-se necessária a adequação do espaço físico, assegurando o sigilo profissional, a privacidade dos usuários, o conforto e a organização do fluxo de atendimento. Nesse sentido, é imprescindível a instalação de divisórias internas, de modo a separar adequadamente o ambiente de atendimento da sala de espera, proporcionando melhor acolhimento aos usuários e maior eficiência na execução dos serviços.</w:t>
      </w:r>
    </w:p>
    <w:p>
      <w:pPr>
        <w:pStyle w:val="Normal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>O serviço a ser contratado possui caráter específico, pontual e de baixo valor, não demandando continuidade, razão pela qual a realização de procedimento licitatório se mostra antieconômica. Assim, resta plenamente justificada a contratação direta por meio de dispensa de licitação, nos termos da legislação vigente.</w:t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3 – DA DOTAÇÃO ORÇAMENTÁRIA</w:t>
      </w:r>
    </w:p>
    <w:p>
      <w:pPr>
        <w:pStyle w:val="FirstParagraph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As despesas decorrentes da execução do objeto correrão por conta da seguinte dotação orçamentária:</w:t>
      </w:r>
    </w:p>
    <w:p>
      <w:pPr>
        <w:pStyle w:val="Corpodotexto"/>
        <w:rPr/>
      </w:pPr>
      <w:r>
        <w:rPr/>
        <w:t>Projeto: 01.01 10 122 0002 2004</w:t>
      </w:r>
      <w:r>
        <w:rPr>
          <w:b/>
        </w:rPr>
        <w:t>- MANUTENÇÃO DA ATIVIDADES DO CONSÓRCIO</w:t>
      </w:r>
    </w:p>
    <w:p>
      <w:pPr>
        <w:pStyle w:val="Corpodotexto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</w:rPr>
        <w:t xml:space="preserve">4490 52 00 00 000 – </w:t>
      </w:r>
      <w:r>
        <w:rPr>
          <w:rFonts w:cs="Calibri" w:ascii="Calibri" w:hAnsi="Calibri"/>
          <w:b/>
        </w:rPr>
        <w:t>equipamentos material permanente</w:t>
      </w:r>
      <w:r>
        <w:rPr>
          <w:rFonts w:cs="Calibri" w:ascii="Calibri" w:hAnsi="Calibri"/>
        </w:rPr>
        <w:br/>
        <w:t>Fonte de Recursos: Recursos próprios do orçamento do Consórcio Intermunicipal de Saúde – COIS.</w:t>
        <w:br/>
        <w:t>Valor estimado da contratação:</w:t>
      </w:r>
      <w:r>
        <w:rPr>
          <w:rFonts w:cs="Calibri" w:ascii="Calibri" w:hAnsi="Calibri"/>
          <w:b/>
        </w:rPr>
        <w:t xml:space="preserve"> R$ 5.054,87 (cinco mil, cinquenta e quatro reais e oitenta e sete centavos).</w:t>
      </w:r>
    </w:p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  <w:bookmarkStart w:id="8" w:name="da-dotação-orçamentária"/>
      <w:bookmarkStart w:id="9" w:name="das-condições-de-participação"/>
      <w:bookmarkStart w:id="10" w:name="da-dotação-orçamentária"/>
      <w:bookmarkStart w:id="11" w:name="das-condições-de-participação"/>
      <w:bookmarkEnd w:id="10"/>
      <w:bookmarkEnd w:id="11"/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4 – DAS CONDIÇÕES DE PARTICIPAÇÃO</w:t>
      </w:r>
    </w:p>
    <w:p>
      <w:pPr>
        <w:pStyle w:val="FirstParagraph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Poderão participar do presente processo apenas </w:t>
      </w:r>
      <w:r>
        <w:rPr>
          <w:rFonts w:cs="Calibri" w:ascii="Calibri" w:hAnsi="Calibri"/>
          <w:b/>
          <w:bCs/>
        </w:rPr>
        <w:t>pessoas jurídicas</w:t>
      </w:r>
      <w:r>
        <w:rPr>
          <w:rFonts w:cs="Calibri" w:ascii="Calibri" w:hAnsi="Calibri"/>
        </w:rPr>
        <w:t>, legalmente constituídas, que comprovem atuação compatível com o objeto da contratação e atendam às exigências deste instrumento e de seus anexos.</w:t>
      </w:r>
    </w:p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bookmarkStart w:id="12" w:name="das-condições-de-participação"/>
      <w:bookmarkStart w:id="13" w:name="Xd437ef19dfec4b4dc46e4fbf6541218f466c58a"/>
      <w:bookmarkEnd w:id="12"/>
      <w:bookmarkEnd w:id="13"/>
      <w:r>
        <w:rPr>
          <w:rFonts w:cs="Calibri" w:ascii="Calibri" w:hAnsi="Calibri"/>
          <w:b/>
          <w:sz w:val="28"/>
          <w:szCs w:val="28"/>
        </w:rPr>
        <w:t>5 – DOS DOCUMENTOS PARA HABILITAÇÃO E DA PROPOSTA</w:t>
      </w:r>
    </w:p>
    <w:p>
      <w:pPr>
        <w:pStyle w:val="Normal"/>
        <w:jc w:val="both"/>
        <w:rPr>
          <w:rFonts w:ascii="Calibri" w:hAnsi="Calibri" w:cs="Calibri"/>
          <w:b/>
          <w:b/>
        </w:rPr>
      </w:pPr>
      <w:bookmarkStart w:id="14" w:name="habilitação-jurídica"/>
      <w:bookmarkEnd w:id="14"/>
      <w:r>
        <w:rPr>
          <w:rFonts w:cs="Calibri" w:ascii="Calibri" w:hAnsi="Calibri"/>
          <w:b/>
        </w:rPr>
        <w:t>5.1 Habilitação Jurídica</w:t>
      </w:r>
    </w:p>
    <w:p>
      <w:pPr>
        <w:pStyle w:val="Compact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Ato constitutivo, contrato social ou estatuto e alterações, devidamente registrados;</w:t>
      </w:r>
    </w:p>
    <w:p>
      <w:pPr>
        <w:pStyle w:val="Compact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Documento de identificação e CPF do(s) representante(s) legal(is).</w:t>
      </w:r>
    </w:p>
    <w:p>
      <w:pPr>
        <w:pStyle w:val="Normal"/>
        <w:jc w:val="both"/>
        <w:rPr>
          <w:rFonts w:ascii="Calibri" w:hAnsi="Calibri" w:cs="Calibri"/>
          <w:b/>
          <w:b/>
        </w:rPr>
      </w:pPr>
      <w:bookmarkStart w:id="15" w:name="habilitação-jurídica"/>
      <w:bookmarkStart w:id="16" w:name="regularidade-fiscal-e-trabalhista"/>
      <w:bookmarkEnd w:id="15"/>
      <w:bookmarkEnd w:id="16"/>
      <w:r>
        <w:rPr>
          <w:rFonts w:cs="Calibri" w:ascii="Calibri" w:hAnsi="Calibri"/>
          <w:b/>
        </w:rPr>
        <w:t>5.2 Regularidade Fiscal e Trabalhista</w:t>
      </w:r>
    </w:p>
    <w:p>
      <w:pPr>
        <w:pStyle w:val="Compact"/>
        <w:numPr>
          <w:ilvl w:val="0"/>
          <w:numId w:val="8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Comprovante de inscrição no CNPJ;</w:t>
      </w:r>
    </w:p>
    <w:p>
      <w:pPr>
        <w:pStyle w:val="Compact"/>
        <w:numPr>
          <w:ilvl w:val="0"/>
          <w:numId w:val="9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Certidões de regularidade junto à Fazenda Federal, Estadual e Municipal;</w:t>
      </w:r>
    </w:p>
    <w:p>
      <w:pPr>
        <w:pStyle w:val="Compact"/>
        <w:numPr>
          <w:ilvl w:val="0"/>
          <w:numId w:val="10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Certidão de Regularidade do FGTS;</w:t>
      </w:r>
    </w:p>
    <w:p>
      <w:pPr>
        <w:pStyle w:val="Compact"/>
        <w:numPr>
          <w:ilvl w:val="0"/>
          <w:numId w:val="1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Certidão Negativa de Débitos Trabalhistas – CNDT.</w:t>
      </w:r>
    </w:p>
    <w:p>
      <w:pPr>
        <w:pStyle w:val="Normal"/>
        <w:spacing w:lineRule="auto" w:line="360" w:beforeAutospacing="1" w:afterAutospacing="1"/>
        <w:rPr>
          <w:rFonts w:ascii="Calibri" w:hAnsi="Calibri" w:eastAsia="Times New Roman" w:cs="Calibri"/>
          <w:lang w:val="pt-BR" w:eastAsia="pt-BR"/>
        </w:rPr>
      </w:pPr>
      <w:bookmarkStart w:id="17" w:name="regularidade-fiscal-e-trabalhista"/>
      <w:bookmarkStart w:id="18" w:name="proposta-de-preços"/>
      <w:bookmarkEnd w:id="17"/>
      <w:bookmarkEnd w:id="18"/>
      <w:r>
        <w:rPr>
          <w:rFonts w:eastAsia="Times New Roman" w:cs="Times New Roman" w:ascii="Times New Roman" w:hAnsi="Times New Roman"/>
          <w:b/>
          <w:bCs/>
          <w:lang w:val="pt-BR" w:eastAsia="pt-BR"/>
        </w:rPr>
        <w:t>5.3 Qualificação Técnica</w:t>
      </w:r>
      <w:r>
        <w:rPr>
          <w:rFonts w:eastAsia="Times New Roman" w:cs="Times New Roman" w:ascii="Times New Roman" w:hAnsi="Times New Roman"/>
          <w:lang w:val="pt-BR" w:eastAsia="pt-BR"/>
        </w:rPr>
        <w:br/>
        <w:t xml:space="preserve">• </w:t>
      </w:r>
      <w:r>
        <w:rPr>
          <w:rFonts w:eastAsia="Times New Roman" w:cs="Calibri" w:ascii="Calibri" w:hAnsi="Calibri"/>
          <w:lang w:val="pt-BR" w:eastAsia="pt-BR"/>
        </w:rPr>
        <w:t>Atestado(s) de capacidade técnica que comprove(m) a execução anterior de serviços compatíveis com o objeto desta contratação.</w:t>
      </w:r>
    </w:p>
    <w:p>
      <w:pPr>
        <w:pStyle w:val="Normal"/>
        <w:spacing w:beforeAutospacing="1" w:afterAutospacing="1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b/>
          <w:bCs/>
          <w:lang w:val="pt-BR" w:eastAsia="pt-BR"/>
        </w:rPr>
        <w:t>Serão considerados como serviços compatíveis, a título exemplificativo:</w:t>
      </w:r>
    </w:p>
    <w:p>
      <w:pPr>
        <w:pStyle w:val="Normal"/>
        <w:numPr>
          <w:ilvl w:val="0"/>
          <w:numId w:val="5"/>
        </w:numPr>
        <w:spacing w:beforeAutospacing="1" w:after="0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Instalação de divisórias em chapas tipo Eucatex, MDF, drywall ou materiais similares; </w:t>
      </w:r>
    </w:p>
    <w:p>
      <w:pPr>
        <w:pStyle w:val="Normal"/>
        <w:numPr>
          <w:ilvl w:val="0"/>
          <w:numId w:val="5"/>
        </w:numPr>
        <w:spacing w:before="0" w:after="0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Montagem de ambientes internos com divisórias modulares em edificações públicas ou privadas; </w:t>
      </w:r>
    </w:p>
    <w:p>
      <w:pPr>
        <w:pStyle w:val="Normal"/>
        <w:numPr>
          <w:ilvl w:val="0"/>
          <w:numId w:val="5"/>
        </w:numPr>
        <w:spacing w:before="0" w:after="0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Execução de serviços de instalação de paredes leves, painéis ou sistemas de compartimentação de ambientes; </w:t>
      </w:r>
    </w:p>
    <w:p>
      <w:pPr>
        <w:pStyle w:val="Normal"/>
        <w:numPr>
          <w:ilvl w:val="0"/>
          <w:numId w:val="5"/>
        </w:numPr>
        <w:spacing w:before="0" w:after="0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Serviços de fornecimento e instalação de divisórias, incluindo estrutura, fixação e acabamento; </w:t>
      </w:r>
    </w:p>
    <w:p>
      <w:pPr>
        <w:pStyle w:val="Normal"/>
        <w:numPr>
          <w:ilvl w:val="0"/>
          <w:numId w:val="5"/>
        </w:numPr>
        <w:spacing w:before="0" w:afterAutospacing="1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Reformas ou adequações de espaços internos que envolvam instalação de divisórias. </w:t>
      </w:r>
    </w:p>
    <w:p>
      <w:pPr>
        <w:pStyle w:val="Normal"/>
        <w:spacing w:beforeAutospacing="1" w:afterAutospacing="1"/>
        <w:rPr>
          <w:rFonts w:ascii="Calibri" w:hAnsi="Calibri" w:eastAsia="Times New Roman" w:cs="Calibri"/>
          <w:b/>
          <w:b/>
          <w:bCs/>
          <w:lang w:val="pt-BR" w:eastAsia="pt-BR"/>
        </w:rPr>
      </w:pPr>
      <w:r>
        <w:rPr>
          <w:rFonts w:eastAsia="Times New Roman" w:cs="Calibri" w:ascii="Calibri" w:hAnsi="Calibri"/>
          <w:b/>
          <w:bCs/>
          <w:lang w:val="pt-BR" w:eastAsia="pt-BR"/>
        </w:rPr>
      </w:r>
    </w:p>
    <w:p>
      <w:pPr>
        <w:pStyle w:val="Normal"/>
        <w:spacing w:beforeAutospacing="1" w:afterAutospacing="1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b/>
          <w:bCs/>
          <w:lang w:val="pt-BR" w:eastAsia="pt-BR"/>
        </w:rPr>
        <w:t>Também serão aceitos, para fins de comprovação da capacidade técnica:</w:t>
      </w:r>
    </w:p>
    <w:p>
      <w:pPr>
        <w:pStyle w:val="Normal"/>
        <w:numPr>
          <w:ilvl w:val="0"/>
          <w:numId w:val="6"/>
        </w:numPr>
        <w:spacing w:beforeAutospacing="1" w:after="0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 xml:space="preserve">Notas fiscais de prestação de serviços, desde que contenham descrição detalhada dos serviços executados, compatíveis com o objeto da contratação; </w:t>
      </w:r>
    </w:p>
    <w:p>
      <w:pPr>
        <w:pStyle w:val="Normal"/>
        <w:numPr>
          <w:ilvl w:val="0"/>
          <w:numId w:val="6"/>
        </w:numPr>
        <w:spacing w:before="0" w:afterAutospacing="1"/>
        <w:rPr>
          <w:rFonts w:ascii="Calibri" w:hAnsi="Calibri" w:eastAsia="Times New Roman" w:cs="Calibri"/>
          <w:lang w:val="pt-BR" w:eastAsia="pt-BR"/>
        </w:rPr>
      </w:pPr>
      <w:r>
        <w:rPr>
          <w:rFonts w:eastAsia="Times New Roman" w:cs="Calibri" w:ascii="Calibri" w:hAnsi="Calibri"/>
          <w:lang w:val="pt-BR" w:eastAsia="pt-BR"/>
        </w:rPr>
        <w:t>Contratos, ordens de serviço ou documentos equivalentes, desde que acompanhados das respectivas notas fiscais ou outro documento que comprove a efetiva execução dos serviços.</w:t>
      </w:r>
    </w:p>
    <w:p>
      <w:pPr>
        <w:pStyle w:val="Normal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5.4 Proposta de Preços</w:t>
      </w:r>
    </w:p>
    <w:p>
      <w:pPr>
        <w:pStyle w:val="Compact"/>
        <w:numPr>
          <w:ilvl w:val="0"/>
          <w:numId w:val="12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A proposta deverá ser apresentada conforme </w:t>
      </w:r>
      <w:r>
        <w:rPr>
          <w:rFonts w:cs="Calibri" w:ascii="Calibri" w:hAnsi="Calibri"/>
          <w:b/>
          <w:bCs/>
        </w:rPr>
        <w:t>modelo constante no Anexo II</w:t>
      </w:r>
      <w:r>
        <w:rPr>
          <w:rFonts w:cs="Calibri" w:ascii="Calibri" w:hAnsi="Calibri"/>
        </w:rPr>
        <w:t>, contendo valor global, já incluídos todos os custos diretos e indiretos.</w:t>
      </w:r>
    </w:p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  <w:bookmarkStart w:id="19" w:name="Xd437ef19dfec4b4dc46e4fbf6541218f466c58a"/>
      <w:bookmarkStart w:id="20" w:name="proposta-de-preços"/>
      <w:bookmarkStart w:id="21" w:name="do-pagamento"/>
      <w:bookmarkStart w:id="22" w:name="Xd437ef19dfec4b4dc46e4fbf6541218f466c58a"/>
      <w:bookmarkStart w:id="23" w:name="proposta-de-preços"/>
      <w:bookmarkStart w:id="24" w:name="do-pagamento"/>
      <w:bookmarkEnd w:id="22"/>
      <w:bookmarkEnd w:id="23"/>
      <w:bookmarkEnd w:id="24"/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6 – DO PAGAMENTO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 pagamento será efetuado em até </w:t>
      </w:r>
      <w:r>
        <w:rPr>
          <w:rFonts w:cs="Calibri" w:ascii="Calibri" w:hAnsi="Calibri"/>
          <w:b/>
        </w:rPr>
        <w:t>05 (cinco)</w:t>
      </w:r>
      <w:r>
        <w:rPr>
          <w:rFonts w:cs="Calibri" w:ascii="Calibri" w:hAnsi="Calibri"/>
        </w:rPr>
        <w:t xml:space="preserve"> dias após a apresentação da nota fiscal, devidamente atestada pelo fiscal da contratação.</w:t>
      </w:r>
    </w:p>
    <w:p>
      <w:pPr>
        <w:pStyle w:val="Corpodotexto"/>
        <w:rPr/>
      </w:pPr>
      <w:r>
        <w:rPr/>
      </w:r>
    </w:p>
    <w:tbl>
      <w:tblPr>
        <w:tblW w:w="9467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467"/>
      </w:tblGrid>
      <w:tr>
        <w:trPr/>
        <w:tc>
          <w:tcPr>
            <w:tcW w:w="9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7. DA FORMALIZAÇÃO DA CONTRATAÇÃO E DO INÍCIO DA EXECUÇÃO</w:t>
            </w:r>
          </w:p>
        </w:tc>
      </w:tr>
    </w:tbl>
    <w:p>
      <w:pPr>
        <w:pStyle w:val="Standard"/>
        <w:overflowPunct w:val="false"/>
        <w:spacing w:lineRule="auto" w:line="360"/>
        <w:jc w:val="both"/>
        <w:textAlignment w:val="auto"/>
        <w:rPr>
          <w:rFonts w:ascii="Calibri" w:hAnsi="Calibri" w:cs="Calibri"/>
          <w:color w:val="000000"/>
          <w:szCs w:val="24"/>
        </w:rPr>
      </w:pPr>
      <w:r>
        <w:rPr>
          <w:rFonts w:cs="Calibri" w:ascii="Calibri" w:hAnsi="Calibri"/>
          <w:color w:val="000000"/>
          <w:szCs w:val="24"/>
        </w:rPr>
      </w:r>
    </w:p>
    <w:p>
      <w:pPr>
        <w:pStyle w:val="Standard"/>
        <w:overflowPunct w:val="false"/>
        <w:spacing w:lineRule="auto" w:line="360"/>
        <w:jc w:val="both"/>
        <w:textAlignment w:val="auto"/>
        <w:rPr>
          <w:rFonts w:ascii="Calibri" w:hAnsi="Calibri" w:cs="Calibri"/>
          <w:color w:val="000000"/>
          <w:szCs w:val="24"/>
        </w:rPr>
      </w:pPr>
      <w:r>
        <w:rPr>
          <w:rFonts w:cs="Calibri" w:ascii="Calibri" w:hAnsi="Calibri"/>
          <w:color w:val="000000"/>
          <w:szCs w:val="24"/>
        </w:rPr>
        <w:t>7.1. A contratação será formalizada mediante emissão da Nota de Empenho, em substituição ao instrumento contratual.</w:t>
      </w:r>
    </w:p>
    <w:p>
      <w:pPr>
        <w:pStyle w:val="Standard"/>
        <w:overflowPunct w:val="false"/>
        <w:spacing w:lineRule="auto" w:line="360"/>
        <w:jc w:val="both"/>
        <w:textAlignment w:val="auto"/>
        <w:rPr>
          <w:rFonts w:ascii="Calibri" w:hAnsi="Calibri" w:cs="Calibri"/>
          <w:color w:val="000000"/>
          <w:szCs w:val="24"/>
        </w:rPr>
      </w:pPr>
      <w:r>
        <w:rPr>
          <w:rFonts w:cs="Calibri" w:ascii="Calibri" w:hAnsi="Calibri"/>
          <w:color w:val="000000"/>
          <w:szCs w:val="24"/>
        </w:rPr>
        <w:t>7.2. A execução dos serviços terá início após a emissão da respectiva Nota de Empenho e da correspondente Autorização de Execução, observadas as condições estabelecidas no Termo de Referência e na proposta aceita pela Administração.</w:t>
      </w:r>
    </w:p>
    <w:p>
      <w:pPr>
        <w:pStyle w:val="Standard"/>
        <w:overflowPunct w:val="false"/>
        <w:spacing w:lineRule="auto" w:line="360"/>
        <w:jc w:val="both"/>
        <w:textAlignment w:val="auto"/>
        <w:rPr>
          <w:rFonts w:ascii="Calibri" w:hAnsi="Calibri" w:cs="Calibri"/>
          <w:color w:val="000000"/>
          <w:szCs w:val="24"/>
        </w:rPr>
      </w:pPr>
      <w:r>
        <w:rPr>
          <w:rFonts w:cs="Calibri" w:ascii="Calibri" w:hAnsi="Calibri"/>
          <w:color w:val="000000"/>
          <w:szCs w:val="24"/>
        </w:rPr>
        <w:t>7.3. O recebimento da Nota de Empenho e da Autorização de Execução pela contratada autorizará o início da execução do objeto.</w:t>
      </w:r>
    </w:p>
    <w:p>
      <w:pPr>
        <w:pStyle w:val="Standard"/>
        <w:overflowPunct w:val="false"/>
        <w:spacing w:lineRule="auto" w:line="360"/>
        <w:jc w:val="both"/>
        <w:textAlignment w:val="auto"/>
        <w:rPr>
          <w:rFonts w:ascii="Calibri" w:hAnsi="Calibri" w:cs="Calibri"/>
          <w:color w:val="000000"/>
          <w:szCs w:val="24"/>
        </w:rPr>
      </w:pPr>
      <w:r>
        <w:rPr>
          <w:rFonts w:cs="Calibri" w:ascii="Calibri" w:hAnsi="Calibri"/>
          <w:color w:val="000000"/>
          <w:szCs w:val="24"/>
        </w:rPr>
        <w:t>7.4. O valor estimado da contratação é de R$ 5.054,87 (cinco mil, cinquenta e quatro reais e oitenta e sete centavos), apurado pelo Consórcio Intermunicipal de Saúde – COIS a partir dos quantitativos definidos para o objeto e dos preços unitários obtidos na pesquisa de preços constante dos autos.</w:t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bookmarkStart w:id="25" w:name="do-pagamento"/>
      <w:bookmarkStart w:id="26" w:name="das-obrigações-da-contratada"/>
      <w:bookmarkEnd w:id="25"/>
      <w:bookmarkEnd w:id="26"/>
      <w:r>
        <w:rPr>
          <w:rFonts w:cs="Calibri" w:ascii="Calibri" w:hAnsi="Calibri"/>
          <w:b/>
          <w:sz w:val="28"/>
          <w:szCs w:val="28"/>
        </w:rPr>
        <w:t>8 – DAS OBRIGAÇÕES DA CONTRATADA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São obrigações da contratada: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Executar os serviços conforme especificações estabelecidas;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Fornecer todos os materiais, mão de obra e equipamentos necessários;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Cumprir o prazo de execução;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Manter, durante toda a execução da contratação, as condições de habilitação exigidas;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Responsabilizar-se pela limpeza do local após a conclusão dos serviços; </w:t>
      </w:r>
    </w:p>
    <w:p>
      <w:pPr>
        <w:pStyle w:val="FirstParagraph"/>
        <w:rPr>
          <w:rFonts w:ascii="Calibri" w:hAnsi="Calibri" w:cs="Calibri"/>
        </w:rPr>
      </w:pPr>
      <w:r>
        <w:rPr>
          <w:rFonts w:cs="Calibri" w:ascii="Calibri" w:hAnsi="Calibri"/>
        </w:rPr>
        <w:t>- Acusar o recebimento da Nota de Empenho e da Autorização de Execução e iniciar os serviços somente após sua emissão.</w:t>
      </w:r>
    </w:p>
    <w:p>
      <w:pPr>
        <w:pStyle w:val="Normal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left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bookmarkStart w:id="27" w:name="das-obrigações-da-contratada"/>
      <w:bookmarkStart w:id="28" w:name="das-obrigações-do-contratante"/>
      <w:bookmarkEnd w:id="27"/>
      <w:bookmarkEnd w:id="28"/>
      <w:r>
        <w:rPr>
          <w:rFonts w:cs="Calibri" w:ascii="Calibri" w:hAnsi="Calibri"/>
          <w:b/>
          <w:sz w:val="28"/>
          <w:szCs w:val="28"/>
        </w:rPr>
        <w:t>9 – DAS OBRIGAÇÕES DO CONTRATANTE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Compete ao contratante: 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Acompanhar e fiscalizar a execução dos serviços; 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- Atestar as notas fiscais; 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- Efetuar o pagamento conforme pactuado;</w:t>
      </w:r>
    </w:p>
    <w:p>
      <w:pPr>
        <w:pStyle w:val="FirstParagraph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</w:rPr>
        <w:t>- Prestar as informações necessárias à execução do objeto.</w:t>
      </w:r>
    </w:p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  <w:bookmarkStart w:id="29" w:name="das-obrigações-do-contratante"/>
      <w:bookmarkStart w:id="30" w:name="do-prazo-de-execução"/>
      <w:bookmarkStart w:id="31" w:name="das-obrigações-do-contratante"/>
      <w:bookmarkStart w:id="32" w:name="do-prazo-de-execução"/>
      <w:bookmarkEnd w:id="31"/>
      <w:bookmarkEnd w:id="32"/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10 – DO PRAZO DE EXECUÇÃO</w:t>
      </w:r>
    </w:p>
    <w:p>
      <w:pPr>
        <w:pStyle w:val="FirstParagraph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 prazo para execução dos serviços será de </w:t>
      </w:r>
      <w:r>
        <w:rPr>
          <w:rFonts w:cs="Calibri" w:ascii="Calibri" w:hAnsi="Calibri"/>
          <w:b/>
        </w:rPr>
        <w:t>até 10 (DEZ) dias úteis</w:t>
      </w:r>
      <w:r>
        <w:rPr>
          <w:rFonts w:cs="Calibri" w:ascii="Calibri" w:hAnsi="Calibri"/>
        </w:rPr>
        <w:t>, contados da emissão da Nota de Empenho e da correspondente Autorização de Execução.</w:t>
      </w:r>
    </w:p>
    <w:p>
      <w:pPr>
        <w:pStyle w:val="Normal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941695" cy="19685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94108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55pt;width:467.75pt;height:1.45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</w:r>
      <w:bookmarkStart w:id="33" w:name="do-prazo-de-execução"/>
      <w:bookmarkStart w:id="34" w:name="das-disposições-finais"/>
      <w:bookmarkStart w:id="35" w:name="do-prazo-de-execução"/>
      <w:bookmarkStart w:id="36" w:name="das-disposições-finais"/>
      <w:bookmarkEnd w:id="35"/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</w:r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11 – DAS DISPOSIÇÕES FINAIS</w:t>
      </w:r>
    </w:p>
    <w:p>
      <w:pPr>
        <w:pStyle w:val="FirstParagraph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 presente dispensa de licitação poderá ser revogada por interesse público superveniente ou anulada por ilegalidade, de ofício ou por provocação de terceiros, nos termos da legislação vigente.</w:t>
      </w:r>
    </w:p>
    <w:p>
      <w:pPr>
        <w:pStyle w:val="Corpodotexto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Fica eleito o Foro da Comarca de São Luiz Gonzaga/RS para dirimir quaisquer controvérsias decorrentes deste instrumento.</w:t>
      </w:r>
    </w:p>
    <w:p>
      <w:pPr>
        <w:pStyle w:val="Corpodotexto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otexto"/>
        <w:jc w:val="both"/>
        <w:rPr>
          <w:rFonts w:ascii="Calibri" w:hAnsi="Calibri" w:cs="Calibri"/>
        </w:rPr>
      </w:pPr>
      <w:r>
        <w:rPr/>
        <mc:AlternateContent>
          <mc:Choice Requires="wps">
            <w:drawing>
              <wp:inline distT="0" distB="0" distL="0" distR="0">
                <wp:extent cx="5551170" cy="16510"/>
                <wp:effectExtent l="0" t="0" r="0" b="0"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" name=""/>
                        <wps:cNvSpPr/>
                      </wps:nvSpPr>
                      <wps:spPr>
                        <a:xfrm>
                          <a:off x="0" y="0"/>
                          <a:ext cx="5550480" cy="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98000</wp14:pctWidth>
                </wp14:sizeRelH>
              </wp:inline>
            </w:drawing>
          </mc:Choice>
          <mc:Fallback>
            <w:pict>
              <v:rect id="shape_0" fillcolor="white" stroked="t" style="position:absolute;margin-left:0pt;margin-top:-1.3pt;width:437pt;height:1.2pt;mso-wrap-style:none;v-text-anchor:middle;mso-position-horizontal:center;mso-position-vertical:top">
                <v:fill o:detectmouseclick="t" type="solid" color2="black"/>
                <v:stroke color="black" joinstyle="round" endcap="flat"/>
                <w10:wrap type="topAndBottom"/>
              </v:rect>
            </w:pict>
          </mc:Fallback>
        </mc:AlternateContent>
      </w:r>
    </w:p>
    <w:p>
      <w:pPr>
        <w:pStyle w:val="Corpodotexto"/>
        <w:ind w:firstLine="1134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right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Sede do consórcio, em </w:t>
      </w:r>
      <w:r>
        <w:rPr>
          <w:rFonts w:cs="Arial" w:ascii="Arial" w:hAnsi="Arial"/>
          <w:color w:val="000000"/>
        </w:rPr>
        <w:t>4</w:t>
      </w:r>
      <w:r>
        <w:rPr>
          <w:rFonts w:cs="Arial" w:ascii="Arial" w:hAnsi="Arial"/>
          <w:color w:val="000000"/>
        </w:rPr>
        <w:t xml:space="preserve"> de </w:t>
      </w:r>
      <w:r>
        <w:rPr>
          <w:rFonts w:cs="Arial" w:ascii="Arial" w:hAnsi="Arial"/>
          <w:color w:val="000000"/>
        </w:rPr>
        <w:t>maio</w:t>
      </w:r>
      <w:r>
        <w:rPr>
          <w:rFonts w:cs="Arial" w:ascii="Arial" w:hAnsi="Arial"/>
          <w:color w:val="000000"/>
        </w:rPr>
        <w:t xml:space="preserve"> de 2026.</w:t>
      </w:r>
    </w:p>
    <w:p>
      <w:pPr>
        <w:pStyle w:val="Standard"/>
        <w:overflowPunct w:val="false"/>
        <w:spacing w:lineRule="auto" w:line="360"/>
        <w:ind w:left="360" w:hanging="0"/>
        <w:jc w:val="both"/>
        <w:textAlignment w:val="auto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color w:val="000000"/>
          <w:szCs w:val="24"/>
        </w:rPr>
      </w:r>
      <w:bookmarkStart w:id="37" w:name="_GoBack"/>
      <w:bookmarkStart w:id="38" w:name="_GoBack"/>
      <w:bookmarkEnd w:id="38"/>
    </w:p>
    <w:p>
      <w:pPr>
        <w:pStyle w:val="Standard"/>
        <w:overflowPunct w:val="false"/>
        <w:spacing w:lineRule="auto" w:line="360"/>
        <w:ind w:left="360" w:hanging="0"/>
        <w:jc w:val="both"/>
        <w:textAlignment w:val="auto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color w:val="000000"/>
          <w:szCs w:val="24"/>
        </w:rPr>
      </w:r>
    </w:p>
    <w:p>
      <w:pPr>
        <w:pStyle w:val="Standard"/>
        <w:overflowPunct w:val="false"/>
        <w:spacing w:lineRule="auto" w:line="360"/>
        <w:ind w:left="360" w:hanging="0"/>
        <w:jc w:val="both"/>
        <w:textAlignment w:val="auto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color w:val="000000"/>
          <w:szCs w:val="24"/>
        </w:rPr>
        <w:t>_______________________________________________________________</w:t>
      </w:r>
    </w:p>
    <w:p>
      <w:pPr>
        <w:pStyle w:val="Standard"/>
        <w:overflowPunct w:val="false"/>
        <w:spacing w:lineRule="auto" w:line="360"/>
        <w:ind w:left="360" w:hanging="0"/>
        <w:jc w:val="center"/>
        <w:textAlignment w:val="auto"/>
        <w:rPr>
          <w:rFonts w:ascii="Arial" w:hAnsi="Arial" w:cs="Arial"/>
          <w:b/>
          <w:b/>
          <w:color w:val="000000"/>
          <w:sz w:val="28"/>
          <w:szCs w:val="28"/>
        </w:rPr>
      </w:pPr>
      <w:r>
        <w:rPr>
          <w:rFonts w:cs="Arial" w:ascii="Arial" w:hAnsi="Arial"/>
          <w:b/>
          <w:color w:val="000000"/>
          <w:sz w:val="28"/>
          <w:szCs w:val="28"/>
        </w:rPr>
        <w:t>JOHNNI RAMÃO LOMBALDO BOCACIO</w:t>
      </w:r>
    </w:p>
    <w:p>
      <w:pPr>
        <w:pStyle w:val="Standard"/>
        <w:overflowPunct w:val="false"/>
        <w:spacing w:lineRule="auto" w:line="360"/>
        <w:ind w:left="360" w:hanging="0"/>
        <w:jc w:val="center"/>
        <w:textAlignment w:val="auto"/>
        <w:rPr>
          <w:rFonts w:ascii="Arial" w:hAnsi="Arial" w:cs="Arial"/>
          <w:b/>
          <w:b/>
          <w:color w:val="000000"/>
          <w:sz w:val="28"/>
          <w:szCs w:val="28"/>
        </w:rPr>
      </w:pPr>
      <w:r>
        <w:rPr>
          <w:rFonts w:cs="Arial" w:ascii="Arial" w:hAnsi="Arial"/>
          <w:b/>
          <w:color w:val="000000"/>
          <w:sz w:val="28"/>
          <w:szCs w:val="28"/>
        </w:rPr>
        <w:t>Presidente do Cois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  <w:bookmarkStart w:id="39" w:name="anexos"/>
      <w:bookmarkStart w:id="40" w:name="anexos"/>
    </w:p>
    <w:p>
      <w:pPr>
        <w:pStyle w:val="Normal"/>
        <w:jc w:val="both"/>
        <w:rPr>
          <w:rFonts w:ascii="Calibri" w:hAnsi="Calibri" w:cs="Calibri"/>
          <w:b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ANEXOS</w:t>
      </w:r>
    </w:p>
    <w:p>
      <w:pPr>
        <w:pStyle w:val="Compac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Anexo I – Termo de Referência</w:t>
      </w:r>
    </w:p>
    <w:p>
      <w:pPr>
        <w:pStyle w:val="Compact"/>
        <w:numPr>
          <w:ilvl w:val="0"/>
          <w:numId w:val="14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Anexo II – Modelo de Proposta de Preços</w:t>
      </w:r>
    </w:p>
    <w:p>
      <w:pPr>
        <w:pStyle w:val="Compact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Anexo III – Modelo de Declaração de Responsabilidade</w:t>
      </w:r>
    </w:p>
    <w:p>
      <w:pPr>
        <w:pStyle w:val="Compact"/>
        <w:numPr>
          <w:ilvl w:val="0"/>
          <w:numId w:val="16"/>
        </w:numPr>
        <w:spacing w:before="36" w:after="36"/>
        <w:jc w:val="both"/>
        <w:rPr>
          <w:rFonts w:ascii="Calibri" w:hAnsi="Calibri" w:cs="Calibri"/>
        </w:rPr>
      </w:pPr>
      <w:bookmarkStart w:id="41" w:name="processo-administrativo-nº-___2026"/>
      <w:bookmarkStart w:id="42" w:name="das-disposições-finais"/>
      <w:bookmarkStart w:id="43" w:name="anexos"/>
      <w:r>
        <w:rPr>
          <w:rFonts w:cs="Calibri" w:ascii="Calibri" w:hAnsi="Calibri"/>
          <w:bCs/>
        </w:rPr>
        <w:t>Anexo IV – Relatório de Pesquisa de Preços</w:t>
      </w:r>
      <w:bookmarkEnd w:id="41"/>
      <w:bookmarkEnd w:id="42"/>
      <w:bookmarkEnd w:id="43"/>
    </w:p>
    <w:sectPr>
      <w:headerReference w:type="default" r:id="rId2"/>
      <w:type w:val="nextPage"/>
      <w:pgSz w:w="12240" w:h="15840"/>
      <w:pgMar w:left="1701" w:right="1183" w:header="720" w:top="1417" w:footer="0" w:bottom="141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Consolas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inline distT="0" distB="0" distL="0" distR="0">
          <wp:extent cx="5608320" cy="944880"/>
          <wp:effectExtent l="0" t="0" r="0" b="0"/>
          <wp:docPr id="9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CNPJ 93.592.368/0001-77 - Rua General Portinho, 1560 – Fone 55 997063800</w:t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CEP: 97800-000 – São Luiz Gonzaga (RS)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Corpodotexto"/>
    <w:link w:val="Ttulo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otexto"/>
    <w:link w:val="Ttulo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otexto"/>
    <w:link w:val="Ttulo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otexto"/>
    <w:link w:val="Ttulo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Corpodotexto"/>
    <w:link w:val="Ttulo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Corpodotexto"/>
    <w:link w:val="Ttulo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Corpodotexto"/>
    <w:link w:val="Ttulo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Corpodotexto"/>
    <w:link w:val="Ttulo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Corpodotexto"/>
    <w:link w:val="Ttulo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Char" w:customStyle="1">
    <w:name w:val="Título Char"/>
    <w:basedOn w:val="DefaultParagraphFont"/>
    <w:link w:val="Ttulo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link w:val="Subttulo"/>
    <w:uiPriority w:val="11"/>
    <w:qFormat/>
    <w:rsid w:val="00a10fd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Ttulo1Char" w:customStyle="1">
    <w:name w:val="Título 1 Char"/>
    <w:basedOn w:val="DefaultParagraphFont"/>
    <w:link w:val="Ttulo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link w:val="Ttulo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link w:val="Ttulo3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link w:val="Ttulo4"/>
    <w:uiPriority w:val="9"/>
    <w:semiHidden/>
    <w:qFormat/>
    <w:rsid w:val="00a10fd9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link w:val="Ttulo5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link w:val="Ttulo6"/>
    <w:uiPriority w:val="9"/>
    <w:semiHidden/>
    <w:qFormat/>
    <w:rsid w:val="00a10fd9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link w:val="Ttulo7"/>
    <w:uiPriority w:val="9"/>
    <w:semiHidden/>
    <w:qFormat/>
    <w:rsid w:val="00a10fd9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link w:val="Ttulo8"/>
    <w:uiPriority w:val="9"/>
    <w:semiHidden/>
    <w:qFormat/>
    <w:rsid w:val="00a10fd9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link w:val="Ttulo9"/>
    <w:uiPriority w:val="9"/>
    <w:semiHidden/>
    <w:qFormat/>
    <w:rsid w:val="00a10fd9"/>
    <w:rPr>
      <w:rFonts w:eastAsia="" w:cs="" w:cstheme="majorBidi" w:eastAsiaTheme="majorEastAsia"/>
      <w:color w:val="272727" w:themeColor="text1" w:themeTint="d8"/>
    </w:rPr>
  </w:style>
  <w:style w:type="character" w:styleId="LegendaChar" w:customStyle="1">
    <w:name w:val="Legenda Char"/>
    <w:basedOn w:val="DefaultParagraphFont"/>
    <w:link w:val="Legenda"/>
    <w:qFormat/>
    <w:rPr/>
  </w:style>
  <w:style w:type="character" w:styleId="VerbatimChar" w:customStyle="1">
    <w:name w:val="Verbatim Char"/>
    <w:basedOn w:val="LegendaCh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LegendaChar"/>
    <w:qFormat/>
    <w:rPr/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basedOn w:val="LegendaChar"/>
    <w:qFormat/>
    <w:rPr>
      <w:vertAlign w:val="superscript"/>
    </w:rPr>
  </w:style>
  <w:style w:type="character" w:styleId="LinkdaInternet">
    <w:name w:val="Link da Internet"/>
    <w:basedOn w:val="LegendaChar"/>
    <w:rPr>
      <w:color w:val="156082" w:themeColor="accent1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qFormat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qFormat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qFormat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qFormat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qFormat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qFormat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qFormat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qFormat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qFormat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</w:rPr>
  </w:style>
  <w:style w:type="character" w:styleId="CabealhoChar" w:customStyle="1">
    <w:name w:val="Cabeçalho Char"/>
    <w:basedOn w:val="DefaultParagraphFont"/>
    <w:link w:val="Cabealho"/>
    <w:qFormat/>
    <w:rsid w:val="00bc62ec"/>
    <w:rPr/>
  </w:style>
  <w:style w:type="character" w:styleId="RodapChar" w:customStyle="1">
    <w:name w:val="Rodapé Char"/>
    <w:basedOn w:val="DefaultParagraphFont"/>
    <w:link w:val="Rodap"/>
    <w:qFormat/>
    <w:rsid w:val="00bc62ec"/>
    <w:rPr/>
  </w:style>
  <w:style w:type="character" w:styleId="Strong">
    <w:name w:val="Strong"/>
    <w:basedOn w:val="DefaultParagraphFont"/>
    <w:uiPriority w:val="22"/>
    <w:qFormat/>
    <w:rsid w:val="00f31c4a"/>
    <w:rPr>
      <w:b/>
      <w:bCs/>
    </w:rPr>
  </w:style>
  <w:style w:type="character" w:styleId="TextodebaloChar" w:customStyle="1">
    <w:name w:val="Texto de balão Char"/>
    <w:basedOn w:val="DefaultParagraphFont"/>
    <w:link w:val="Textodebalo"/>
    <w:semiHidden/>
    <w:qFormat/>
    <w:rsid w:val="00557992"/>
    <w:rPr>
      <w:rFonts w:ascii="Segoe UI" w:hAnsi="Segoe UI" w:cs="Segoe UI"/>
      <w:sz w:val="18"/>
      <w:szCs w:val="18"/>
    </w:rPr>
  </w:style>
  <w:style w:type="character" w:styleId="Caracteresdenotaderodap">
    <w:name w:val="Caracteres de nota de rodapé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qFormat/>
    <w:pPr>
      <w:spacing w:before="180" w:after="18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FirstParagraph" w:customStyle="1">
    <w:name w:val="First Paragraph"/>
    <w:basedOn w:val="Corpodotexto"/>
    <w:next w:val="Corpodotexto"/>
    <w:qFormat/>
    <w:pPr/>
    <w:rPr/>
  </w:style>
  <w:style w:type="paragraph" w:styleId="Compact" w:customStyle="1">
    <w:name w:val="Compact"/>
    <w:basedOn w:val="Corpodotexto"/>
    <w:qFormat/>
    <w:pPr>
      <w:spacing w:before="36" w:after="36"/>
    </w:pPr>
    <w:rPr/>
  </w:style>
  <w:style w:type="paragraph" w:styleId="Ttulododocumento">
    <w:name w:val="Title"/>
    <w:basedOn w:val="Normal"/>
    <w:next w:val="Corpodotexto"/>
    <w:link w:val="TtuloChar"/>
    <w:uiPriority w:val="10"/>
    <w:qFormat/>
    <w:rsid w:val="00a10fd9"/>
    <w:pPr>
      <w:spacing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Ttulododocumento"/>
    <w:next w:val="Corpodotexto"/>
    <w:link w:val="SubttuloChar"/>
    <w:uiPriority w:val="11"/>
    <w:qFormat/>
    <w:rsid w:val="00a10fd9"/>
    <w:pPr/>
    <w:rPr>
      <w:spacing w:val="15"/>
      <w:sz w:val="28"/>
      <w:szCs w:val="28"/>
    </w:rPr>
  </w:style>
  <w:style w:type="paragraph" w:styleId="Author" w:customStyle="1">
    <w:name w:val="Author"/>
    <w:next w:val="Corpodotexto"/>
    <w:qFormat/>
    <w:pPr>
      <w:keepNext w:val="true"/>
      <w:keepLines/>
      <w:widowControl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Corpodotexto"/>
    <w:qFormat/>
    <w:pPr>
      <w:keepNext w:val="true"/>
      <w:keepLines/>
      <w:widowControl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Corpodotexto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Corpodotexto"/>
    <w:next w:val="Corpodotexto"/>
    <w:uiPriority w:val="9"/>
    <w:unhideWhenUsed/>
    <w:qFormat/>
    <w:pPr>
      <w:spacing w:before="100" w:after="100"/>
      <w:ind w:left="480" w:right="480" w:hanging="0"/>
    </w:pPr>
    <w:rPr/>
  </w:style>
  <w:style w:type="paragraph" w:styleId="Notaderodap">
    <w:name w:val="Footnote Text"/>
    <w:basedOn w:val="Normal"/>
    <w:uiPriority w:val="9"/>
    <w:unhideWhenUsed/>
    <w:qFormat/>
    <w:pPr/>
    <w:rPr/>
  </w:style>
  <w:style w:type="paragraph" w:styleId="FootnoteBlockText" w:customStyle="1">
    <w:name w:val="Footnote Block Text"/>
    <w:basedOn w:val="Notaderodap"/>
    <w:next w:val="Notaderodap"/>
    <w:uiPriority w:val="9"/>
    <w:unhideWhenUsed/>
    <w:qFormat/>
    <w:pPr>
      <w:spacing w:before="100" w:after="100"/>
      <w:ind w:left="480" w:right="480" w:hanging="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Caption">
    <w:name w:val="caption"/>
    <w:basedOn w:val="Normal"/>
    <w:link w:val="LegendaChar"/>
    <w:qFormat/>
    <w:pPr>
      <w:spacing w:before="0" w:after="120"/>
    </w:pPr>
    <w:rPr>
      <w:i/>
    </w:rPr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a" w:customStyle="1">
    <w:name w:val="Figura"/>
    <w:basedOn w:val="Normal"/>
    <w:qFormat/>
    <w:pPr/>
    <w:rPr/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TOCHeading">
    <w:name w:val="TOC Heading"/>
    <w:basedOn w:val="Ttulo1"/>
    <w:next w:val="Corpodotexto"/>
    <w:uiPriority w:val="39"/>
    <w:unhideWhenUsed/>
    <w:qFormat/>
    <w:pPr>
      <w:spacing w:lineRule="auto" w:line="259" w:before="240" w:after="80"/>
    </w:pPr>
    <w:rPr/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Standard" w:customStyle="1">
    <w:name w:val="Standard"/>
    <w:qFormat/>
    <w:rsid w:val="00f6058c"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t-BR" w:eastAsia="zh-CN" w:bidi="ar-SA"/>
    </w:rPr>
  </w:style>
  <w:style w:type="paragraph" w:styleId="Contedodatabela" w:customStyle="1">
    <w:name w:val="Conteúdo da tabela"/>
    <w:basedOn w:val="Standard"/>
    <w:qFormat/>
    <w:rsid w:val="00f6058c"/>
    <w:pPr>
      <w:widowControl w:val="false"/>
      <w:suppressLineNumbers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nhideWhenUsed/>
    <w:rsid w:val="00bc62ec"/>
    <w:pPr>
      <w:tabs>
        <w:tab w:val="clear" w:pos="720"/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nhideWhenUsed/>
    <w:rsid w:val="00bc62ec"/>
    <w:pPr>
      <w:tabs>
        <w:tab w:val="clear" w:pos="720"/>
        <w:tab w:val="center" w:pos="4252" w:leader="none"/>
        <w:tab w:val="right" w:pos="8504" w:leader="none"/>
      </w:tabs>
      <w:spacing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f31c4a"/>
    <w:pPr>
      <w:spacing w:beforeAutospacing="1" w:afterAutospacing="1"/>
    </w:pPr>
    <w:rPr>
      <w:rFonts w:ascii="Times New Roman" w:hAnsi="Times New Roman" w:eastAsia="Times New Roman" w:cs="Times New Roman"/>
      <w:lang w:val="pt-BR" w:eastAsia="pt-BR"/>
    </w:rPr>
  </w:style>
  <w:style w:type="paragraph" w:styleId="BalloonText">
    <w:name w:val="Balloon Text"/>
    <w:basedOn w:val="Normal"/>
    <w:link w:val="TextodebaloChar"/>
    <w:semiHidden/>
    <w:unhideWhenUsed/>
    <w:qFormat/>
    <w:rsid w:val="00557992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09F6-FAA4-4C44-88BB-7E16B18CE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Application>LibreOffice/7.1.4.2$Windows_X86_64 LibreOffice_project/a529a4fab45b75fefc5b6226684193eb000654f6</Application>
  <AppVersion>15.0000</AppVersion>
  <Pages>6</Pages>
  <Words>1085</Words>
  <Characters>6319</Characters>
  <CharactersWithSpaces>7346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2026-01-29T12:59:00Z</dcterms:created>
  <dc:creator/>
  <dc:description/>
  <dc:language>pt-BR</dc:language>
  <cp:lastModifiedBy/>
  <cp:lastPrinted>2026-04-23T12:52:00Z</cp:lastPrinted>
  <dcterms:modified xsi:type="dcterms:W3CDTF">2026-05-04T08:43:45Z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