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FirstParagraph"/>
        <w:spacing w:before="180" w:after="180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  <w:t>ANEXO I -TERMO DE REFERÊNCIA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</w:rPr>
        <w:t>DA LEGISLAÇÃO APLICÁVEL</w:t>
      </w:r>
      <w:r>
        <w:rPr>
          <w:rFonts w:cs="Calibri" w:ascii="Calibri" w:hAnsi="Calibri"/>
        </w:rPr>
        <w:t xml:space="preserve"> </w:t>
      </w:r>
    </w:p>
    <w:p>
      <w:pPr>
        <w:pStyle w:val="Corpodotexto"/>
        <w:ind w:firstLine="851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 presente Termo de Referência foi elaborado em atendimento às disposições da Lei Federal nº 14.133/2021 e suas alterações, que regulamenta o art. 37, inciso XXI, da Constituição Federal.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</w:rPr>
        <w:t>DO OBJETO</w:t>
      </w:r>
      <w:r>
        <w:rPr>
          <w:rFonts w:cs="Calibri" w:ascii="Calibri" w:hAnsi="Calibri"/>
        </w:rPr>
        <w:t xml:space="preserve"> </w:t>
      </w:r>
    </w:p>
    <w:p>
      <w:pPr>
        <w:pStyle w:val="Corpodotexto"/>
        <w:ind w:firstLine="851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Contratação de empresa especializada para fornecimento e instalação de divisórias internas em imóvel já locado pelo Consórcio, destinado ao funcionamento de consultório para atendimento de</w:t>
      </w:r>
      <w:bookmarkStart w:id="0" w:name="_GoBack"/>
      <w:bookmarkEnd w:id="0"/>
      <w:r>
        <w:rPr>
          <w:rFonts w:cs="Calibri" w:ascii="Calibri" w:hAnsi="Calibri"/>
        </w:rPr>
        <w:t xml:space="preserve"> psicologia, com a finalidade de separar fisicamente os ambientes de sala de espera e consultório, garantindo privacidade, organização do espaço e adequação às atividades exercidas.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</w:rPr>
        <w:t>DA JUSTIFICATIVA</w:t>
      </w:r>
      <w:r>
        <w:rPr>
          <w:rFonts w:cs="Calibri" w:ascii="Calibri" w:hAnsi="Calibri"/>
        </w:rPr>
        <w:t xml:space="preserve"> </w:t>
      </w:r>
    </w:p>
    <w:p>
      <w:pPr>
        <w:pStyle w:val="Corpodotexto"/>
        <w:ind w:firstLine="1134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A presente contratação justifica-se pela necessidade de adequar o espaço físico do imóvel já locado pelo Consórcio, de modo a viabilizar o atendimento de fonoaudiologia ou psicologia no local, assegurando condições mínimas de privacidade, conforto acústico e organização dos serviços prestados à população.</w:t>
      </w:r>
    </w:p>
    <w:p>
      <w:pPr>
        <w:pStyle w:val="Corpodotexto"/>
        <w:ind w:firstLine="851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A instalação de divisórias internas é essencial para separar adequadamente os ambientes de atendimento, evitando interferências entre os serviços, resguardando o sigilo profissional inerente às atividades desenvolvidas e atendendo às boas práticas de atendimento em saúde.</w:t>
      </w:r>
    </w:p>
    <w:p>
      <w:pPr>
        <w:pStyle w:val="Corpodotexto"/>
        <w:ind w:firstLine="851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Trata-se de serviço comum de fornecimento e instalação de divisórias internas, com especificações usuais no mercado, cuja contratação é necessária para garantir a continuidade e a qualidade dos serviços públicos ofertados pelo Consórcio.</w:t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</w:rPr>
        <w:t>DO DETALHAMENTO DO OBJETO</w:t>
      </w:r>
      <w:r>
        <w:rPr>
          <w:rFonts w:cs="Calibri" w:ascii="Calibri" w:hAnsi="Calibri"/>
        </w:rPr>
        <w:t xml:space="preserve"> </w:t>
      </w:r>
    </w:p>
    <w:p>
      <w:pPr>
        <w:pStyle w:val="Normal"/>
        <w:ind w:firstLine="851"/>
        <w:rPr>
          <w:rFonts w:ascii="Calibri" w:hAnsi="Calibri" w:cs="Calibri"/>
        </w:rPr>
      </w:pPr>
      <w:r>
        <w:rPr>
          <w:rFonts w:cs="Calibri" w:ascii="Calibri" w:hAnsi="Calibri"/>
        </w:rPr>
        <w:t>A contratação compreende o fornecimento e a instalação de divisórias internas leves, com portas, fechaduras, ferragens, acabamentos e corredor de circulação, conforme necessidade apurada pelo COIS para adequação do espaço.</w:t>
      </w:r>
    </w:p>
    <w:p>
      <w:pPr>
        <w:pStyle w:val="Normal"/>
        <w:ind w:firstLine="851"/>
        <w:rPr>
          <w:rFonts w:ascii="Calibri" w:hAnsi="Calibri" w:cs="Calibri"/>
        </w:rPr>
      </w:pPr>
      <w:r>
        <w:rPr>
          <w:rFonts w:cs="Calibri" w:ascii="Calibri" w:hAnsi="Calibri"/>
        </w:rPr>
        <w:t>Para fins de descrição preliminar do objeto, adota-se a seguinte tabela de referência:</w:t>
      </w:r>
    </w:p>
    <w:tbl>
      <w:tblPr>
        <w:tblW w:w="9018" w:type="dxa"/>
        <w:jc w:val="center"/>
        <w:tblInd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firstRow="1" w:noVBand="1" w:lastRow="0" w:firstColumn="1" w:lastColumn="0" w:noHBand="0" w:val="04a0"/>
      </w:tblPr>
      <w:tblGrid>
        <w:gridCol w:w="671"/>
        <w:gridCol w:w="5337"/>
        <w:gridCol w:w="1200"/>
        <w:gridCol w:w="1809"/>
      </w:tblGrid>
      <w:tr>
        <w:trPr/>
        <w:tc>
          <w:tcPr>
            <w:tcW w:w="671" w:type="dxa"/>
            <w:tcBorders/>
            <w:shd w:color="auto" w:fill="D9EAF7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b/>
              </w:rPr>
              <w:t>Item</w:t>
            </w:r>
          </w:p>
        </w:tc>
        <w:tc>
          <w:tcPr>
            <w:tcW w:w="5337" w:type="dxa"/>
            <w:tcBorders/>
            <w:shd w:color="auto" w:fill="D9EAF7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b/>
              </w:rPr>
              <w:t>Descrição resumida</w:t>
            </w:r>
          </w:p>
        </w:tc>
        <w:tc>
          <w:tcPr>
            <w:tcW w:w="1200" w:type="dxa"/>
            <w:tcBorders/>
            <w:shd w:color="auto" w:fill="D9EAF7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b/>
              </w:rPr>
              <w:t>Unidade</w:t>
            </w:r>
          </w:p>
        </w:tc>
        <w:tc>
          <w:tcPr>
            <w:tcW w:w="1809" w:type="dxa"/>
            <w:tcBorders/>
            <w:shd w:color="auto" w:fill="D9EAF7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b/>
              </w:rPr>
              <w:t>Quantidade</w:t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1</w:t>
            </w:r>
          </w:p>
        </w:tc>
        <w:tc>
          <w:tcPr>
            <w:tcW w:w="5337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Divisórias internas leves para formação de sala de espera, consultório e corredor, material tipo Eucatex.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m²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23</w:t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2</w:t>
            </w:r>
          </w:p>
        </w:tc>
        <w:tc>
          <w:tcPr>
            <w:tcW w:w="5337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Altura das divisórias.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m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2,6</w:t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3</w:t>
            </w:r>
          </w:p>
        </w:tc>
        <w:tc>
          <w:tcPr>
            <w:tcW w:w="5337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Porta(s) para divisória, com ferragens compatíveis fechadura com chave, maçaneta, jogo de dobradiças, parafusos, perfis, fixadores e arremates.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un.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01</w:t>
            </w:r>
          </w:p>
        </w:tc>
      </w:tr>
      <w:tr>
        <w:trPr/>
        <w:tc>
          <w:tcPr>
            <w:tcW w:w="671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37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</w:tbl>
    <w:p>
      <w:pPr>
        <w:pStyle w:val="Normal"/>
        <w:ind w:firstLine="85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ind w:firstLine="85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ind w:firstLine="85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ind w:firstLine="85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ind w:firstLine="85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ind w:firstLine="85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ind w:firstLine="85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ind w:firstLine="85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ind w:firstLine="85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</w:rPr>
        <w:t>DO PRAZO DE EXECUÇÃO</w:t>
      </w:r>
      <w:r>
        <w:rPr>
          <w:rFonts w:cs="Calibri" w:ascii="Calibri" w:hAnsi="Calibri"/>
        </w:rPr>
        <w:t xml:space="preserve"> </w:t>
      </w:r>
    </w:p>
    <w:p>
      <w:pPr>
        <w:pStyle w:val="Corpodotexto"/>
        <w:ind w:firstLine="851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 prazo para execução dos serviços será de </w:t>
      </w:r>
      <w:r>
        <w:rPr>
          <w:rFonts w:cs="Calibri" w:ascii="Calibri" w:hAnsi="Calibri"/>
          <w:b/>
          <w:u w:val="single"/>
        </w:rPr>
        <w:t>até 10 (dez) dias corridos</w:t>
      </w:r>
      <w:r>
        <w:rPr>
          <w:rFonts w:cs="Calibri" w:ascii="Calibri" w:hAnsi="Calibri"/>
        </w:rPr>
        <w:t>, contados da emissão da Nota de Empenho e da correspondente Autorização de Execução.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</w:rPr>
        <w:t>DAS OBRIGAÇÕES DA CONTRATADA</w:t>
      </w:r>
      <w:r>
        <w:rPr>
          <w:rFonts w:cs="Calibri" w:ascii="Calibri" w:hAnsi="Calibri"/>
        </w:rPr>
        <w:t xml:space="preserve"> </w:t>
      </w:r>
    </w:p>
    <w:p>
      <w:pPr>
        <w:pStyle w:val="Corpodotexto"/>
        <w:ind w:firstLine="851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São obrigações da contratada: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• </w:t>
      </w:r>
      <w:r>
        <w:rPr>
          <w:rFonts w:cs="Calibri" w:ascii="Calibri" w:hAnsi="Calibri"/>
        </w:rPr>
        <w:t xml:space="preserve">Executar os serviços conforme as especificações deste Termo de Referência; 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• </w:t>
      </w:r>
      <w:r>
        <w:rPr>
          <w:rFonts w:cs="Calibri" w:ascii="Calibri" w:hAnsi="Calibri"/>
        </w:rPr>
        <w:t xml:space="preserve">Fornecer todos os materiais, ferramentas, equipamentos e mão de obra necessários à execução dos serviços; 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• </w:t>
      </w:r>
      <w:r>
        <w:rPr>
          <w:rFonts w:cs="Calibri" w:ascii="Calibri" w:hAnsi="Calibri"/>
        </w:rPr>
        <w:t xml:space="preserve">Responsabilizar-se pela qualidade dos materiais empregados e dos serviços executados; 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• </w:t>
      </w:r>
      <w:r>
        <w:rPr>
          <w:rFonts w:cs="Calibri" w:ascii="Calibri" w:hAnsi="Calibri"/>
        </w:rPr>
        <w:t xml:space="preserve">Cumprir as normas técnicas e de segurança aplicáveis; 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• </w:t>
      </w:r>
      <w:r>
        <w:rPr>
          <w:rFonts w:cs="Calibri" w:ascii="Calibri" w:hAnsi="Calibri"/>
        </w:rPr>
        <w:t>Reparar, sem ônus para o Consórcio, eventuais defeitos identificados após a conclusão dos serviços.</w:t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</w:rPr>
        <w:t>DAS OBRIGAÇÕES DO CONTRATANTE</w:t>
      </w:r>
      <w:r>
        <w:rPr>
          <w:rFonts w:cs="Calibri" w:ascii="Calibri" w:hAnsi="Calibri"/>
        </w:rPr>
        <w:t xml:space="preserve"> </w:t>
      </w:r>
    </w:p>
    <w:p>
      <w:pPr>
        <w:pStyle w:val="Corpodotexto"/>
        <w:ind w:firstLine="851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Compete ao Consórcio: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• </w:t>
      </w:r>
      <w:r>
        <w:rPr>
          <w:rFonts w:cs="Calibri" w:ascii="Calibri" w:hAnsi="Calibri"/>
        </w:rPr>
        <w:t xml:space="preserve">Disponibilizar o local para execução dos serviços; 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• </w:t>
      </w:r>
      <w:r>
        <w:rPr>
          <w:rFonts w:cs="Calibri" w:ascii="Calibri" w:hAnsi="Calibri"/>
        </w:rPr>
        <w:t xml:space="preserve">Acompanhar e fiscalizar a execução do objeto; 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• </w:t>
      </w:r>
      <w:r>
        <w:rPr>
          <w:rFonts w:cs="Calibri" w:ascii="Calibri" w:hAnsi="Calibri"/>
        </w:rPr>
        <w:t>Efetuar o pagamento conforme as condições estabelecidas.</w:t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</w:rPr>
        <w:t>DAS CONDIÇÕES DE PAGAMENTO</w:t>
      </w:r>
      <w:r>
        <w:rPr>
          <w:rFonts w:cs="Calibri" w:ascii="Calibri" w:hAnsi="Calibri"/>
        </w:rPr>
        <w:t xml:space="preserve"> </w:t>
      </w:r>
    </w:p>
    <w:p>
      <w:pPr>
        <w:pStyle w:val="Corpodotexto"/>
        <w:ind w:firstLine="851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 pagamento será efetuado após a conclusão dos serviços e atesto da execução pelo setor competente do Consórcio, mediante apresentação de nota fiscal, observadas as condições estabelecidas neste Termo de Referência.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</w:rPr>
        <w:t>DO VALOR ESTIMADO DA CONTRATAÇÃO</w:t>
      </w:r>
      <w:r>
        <w:rPr>
          <w:rFonts w:cs="Calibri" w:ascii="Calibri" w:hAnsi="Calibri"/>
        </w:rPr>
        <w:t xml:space="preserve"> </w:t>
      </w:r>
    </w:p>
    <w:p>
      <w:pPr>
        <w:pStyle w:val="Corpodotexto"/>
        <w:ind w:firstLine="851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 valor estimado da contratação corresponde </w:t>
      </w:r>
      <w:r>
        <w:rPr>
          <w:rFonts w:cs="Calibri" w:ascii="Calibri" w:hAnsi="Calibri"/>
          <w:b/>
        </w:rPr>
        <w:t>a R$ 5.054,87 (cinco mil, cinquenta e quatro reais e oitenta e sete centavos),</w:t>
      </w:r>
      <w:r>
        <w:rPr>
          <w:rFonts w:cs="Calibri" w:ascii="Calibri" w:hAnsi="Calibri"/>
        </w:rPr>
        <w:t xml:space="preserve"> apurado pelo Consórcio Intermunicipal de Saúde – COIS a partir dos quantitativos definidos para o objeto e dos preços unitários obtidos na pesquisa de preços constante dos autos.</w:t>
      </w:r>
    </w:p>
    <w:p>
      <w:pPr>
        <w:pStyle w:val="Corpodotexto"/>
        <w:ind w:firstLine="1418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São Luiz Gonzaga/RS, 17 de Abril de 2026.</w:t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otexto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otexto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  <w:t>_______________________________</w:t>
      </w:r>
    </w:p>
    <w:p>
      <w:pPr>
        <w:pStyle w:val="Corpodotexto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  <w:t>João Alberto Dal Pai</w:t>
      </w:r>
    </w:p>
    <w:p>
      <w:pPr>
        <w:pStyle w:val="Corpodotexto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  <w:t>Secretário Executivo</w:t>
      </w:r>
    </w:p>
    <w:p>
      <w:pPr>
        <w:pStyle w:val="Normal"/>
        <w:widowControl/>
        <w:bidi w:val="0"/>
        <w:spacing w:before="0" w:after="200"/>
        <w:jc w:val="left"/>
        <w:rPr/>
      </w:pPr>
      <w:r>
        <w:rPr/>
      </w:r>
    </w:p>
    <w:sectPr>
      <w:headerReference w:type="default" r:id="rId2"/>
      <w:type w:val="nextPage"/>
      <w:pgSz w:w="12240" w:h="15840"/>
      <w:pgMar w:left="1701" w:right="1701" w:header="720" w:top="1417" w:footer="0" w:bottom="141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Consolas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  <w:drawing>
        <wp:inline distT="0" distB="0" distL="0" distR="0">
          <wp:extent cx="5608320" cy="944880"/>
          <wp:effectExtent l="0" t="0" r="0" b="0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8320" cy="94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Standard"/>
      <w:jc w:val="center"/>
      <w:rPr>
        <w:rFonts w:ascii="Arial" w:hAnsi="Arial" w:cs="Arial"/>
        <w:color w:val="000080"/>
        <w:sz w:val="20"/>
      </w:rPr>
    </w:pPr>
    <w:r>
      <w:rPr>
        <w:rFonts w:cs="Arial" w:ascii="Arial" w:hAnsi="Arial"/>
        <w:color w:val="000080"/>
        <w:sz w:val="20"/>
      </w:rPr>
      <w:t>CNPJ 93.592.368/0001-77 - Rua General Portinho, 1560 – Fone 55 997063800</w:t>
    </w:r>
  </w:p>
  <w:p>
    <w:pPr>
      <w:pStyle w:val="Standard"/>
      <w:jc w:val="center"/>
      <w:rPr>
        <w:rFonts w:ascii="Arial" w:hAnsi="Arial" w:cs="Arial"/>
        <w:color w:val="000080"/>
        <w:sz w:val="20"/>
      </w:rPr>
    </w:pPr>
    <w:r>
      <w:rPr>
        <w:rFonts w:cs="Arial" w:ascii="Arial" w:hAnsi="Arial"/>
        <w:color w:val="000080"/>
        <w:sz w:val="20"/>
      </w:rPr>
      <w:t>CEP: 97800-000 – São Luiz Gonzaga (RS)</w:t>
    </w:r>
  </w:p>
  <w:p>
    <w:pPr>
      <w:pStyle w:val="Cabealho"/>
      <w:rPr/>
    </w:pPr>
    <w:r>
      <w:rPr/>
    </w:r>
  </w:p>
</w:hdr>
</file>

<file path=word/settings.xml><?xml version="1.0" encoding="utf-8"?>
<w:settings xmlns:w="http://schemas.openxmlformats.org/wordprocessingml/2006/main">
  <w:zoom w:percent="83"/>
  <w:embedSystemFonts/>
  <w:defaultTabStop w:val="720"/>
  <w:autoHyphenation w:val="true"/>
  <w:compat>
    <w:compatSetting w:name="compatibilityMode" w:uri="http://schemas.microsoft.com/office/word" w:val="12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Ttulo1">
    <w:name w:val="Heading 1"/>
    <w:basedOn w:val="Normal"/>
    <w:next w:val="Corpodotexto"/>
    <w:link w:val="Ttulo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otexto"/>
    <w:link w:val="Ttulo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otexto"/>
    <w:link w:val="Ttulo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otexto"/>
    <w:link w:val="Ttulo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tulo5">
    <w:name w:val="Heading 5"/>
    <w:basedOn w:val="Normal"/>
    <w:next w:val="Corpodotexto"/>
    <w:link w:val="Ttulo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tulo6">
    <w:name w:val="Heading 6"/>
    <w:basedOn w:val="Normal"/>
    <w:next w:val="Corpodotexto"/>
    <w:link w:val="Ttulo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tulo7">
    <w:name w:val="Heading 7"/>
    <w:basedOn w:val="Normal"/>
    <w:next w:val="Corpodotexto"/>
    <w:link w:val="Ttulo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tulo8">
    <w:name w:val="Heading 8"/>
    <w:basedOn w:val="Normal"/>
    <w:next w:val="Corpodotexto"/>
    <w:link w:val="Ttulo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tulo9">
    <w:name w:val="Heading 9"/>
    <w:basedOn w:val="Normal"/>
    <w:next w:val="Corpodotexto"/>
    <w:link w:val="Ttulo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Char" w:customStyle="1">
    <w:name w:val="Título Char"/>
    <w:basedOn w:val="DefaultParagraphFont"/>
    <w:link w:val="Ttulo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link w:val="Subttulo"/>
    <w:uiPriority w:val="11"/>
    <w:qFormat/>
    <w:rsid w:val="00a10fd9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Ttulo1Char" w:customStyle="1">
    <w:name w:val="Título 1 Char"/>
    <w:basedOn w:val="DefaultParagraphFont"/>
    <w:link w:val="Ttulo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DefaultParagraphFont"/>
    <w:link w:val="Ttulo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DefaultParagraphFont"/>
    <w:link w:val="Ttulo3"/>
    <w:uiPriority w:val="9"/>
    <w:semiHidden/>
    <w:qFormat/>
    <w:rsid w:val="00a10fd9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DefaultParagraphFont"/>
    <w:link w:val="Ttulo4"/>
    <w:uiPriority w:val="9"/>
    <w:semiHidden/>
    <w:qFormat/>
    <w:rsid w:val="00a10fd9"/>
    <w:rPr>
      <w:rFonts w:eastAsia="" w:cs="" w:cstheme="majorBidi" w:eastAsiaTheme="majorEastAsia"/>
      <w:i/>
      <w:iCs/>
      <w:color w:val="0F4761" w:themeColor="accent1" w:themeShade="bf"/>
    </w:rPr>
  </w:style>
  <w:style w:type="character" w:styleId="Ttulo5Char" w:customStyle="1">
    <w:name w:val="Título 5 Char"/>
    <w:basedOn w:val="DefaultParagraphFont"/>
    <w:link w:val="Ttulo5"/>
    <w:uiPriority w:val="9"/>
    <w:semiHidden/>
    <w:qFormat/>
    <w:rsid w:val="00a10fd9"/>
    <w:rPr>
      <w:rFonts w:eastAsia="" w:cs="" w:cstheme="majorBidi" w:eastAsiaTheme="majorEastAsia"/>
      <w:color w:val="0F4761" w:themeColor="accent1" w:themeShade="bf"/>
    </w:rPr>
  </w:style>
  <w:style w:type="character" w:styleId="Ttulo6Char" w:customStyle="1">
    <w:name w:val="Título 6 Char"/>
    <w:basedOn w:val="DefaultParagraphFont"/>
    <w:link w:val="Ttulo6"/>
    <w:uiPriority w:val="9"/>
    <w:semiHidden/>
    <w:qFormat/>
    <w:rsid w:val="00a10fd9"/>
    <w:rPr>
      <w:rFonts w:eastAsia="" w:cs="" w:cstheme="majorBidi" w:eastAsiaTheme="majorEastAsia"/>
      <w:i/>
      <w:iCs/>
      <w:color w:val="595959" w:themeColor="text1" w:themeTint="a6"/>
    </w:rPr>
  </w:style>
  <w:style w:type="character" w:styleId="Ttulo7Char" w:customStyle="1">
    <w:name w:val="Título 7 Char"/>
    <w:basedOn w:val="DefaultParagraphFont"/>
    <w:link w:val="Ttulo7"/>
    <w:uiPriority w:val="9"/>
    <w:semiHidden/>
    <w:qFormat/>
    <w:rsid w:val="00a10fd9"/>
    <w:rPr>
      <w:rFonts w:eastAsia="" w:cs="" w:cstheme="majorBidi" w:eastAsiaTheme="majorEastAsia"/>
      <w:color w:val="595959" w:themeColor="text1" w:themeTint="a6"/>
    </w:rPr>
  </w:style>
  <w:style w:type="character" w:styleId="Ttulo8Char" w:customStyle="1">
    <w:name w:val="Título 8 Char"/>
    <w:basedOn w:val="DefaultParagraphFont"/>
    <w:link w:val="Ttulo8"/>
    <w:uiPriority w:val="9"/>
    <w:semiHidden/>
    <w:qFormat/>
    <w:rsid w:val="00a10fd9"/>
    <w:rPr>
      <w:rFonts w:eastAsia="" w:cs="" w:cstheme="majorBidi" w:eastAsiaTheme="majorEastAsia"/>
      <w:i/>
      <w:iCs/>
      <w:color w:val="272727" w:themeColor="text1" w:themeTint="d8"/>
    </w:rPr>
  </w:style>
  <w:style w:type="character" w:styleId="Ttulo9Char" w:customStyle="1">
    <w:name w:val="Título 9 Char"/>
    <w:basedOn w:val="DefaultParagraphFont"/>
    <w:link w:val="Ttulo9"/>
    <w:uiPriority w:val="9"/>
    <w:semiHidden/>
    <w:qFormat/>
    <w:rsid w:val="00a10fd9"/>
    <w:rPr>
      <w:rFonts w:eastAsia="" w:cs="" w:cstheme="majorBidi" w:eastAsiaTheme="majorEastAsia"/>
      <w:color w:val="272727" w:themeColor="text1" w:themeTint="d8"/>
    </w:rPr>
  </w:style>
  <w:style w:type="character" w:styleId="LegendaChar" w:customStyle="1">
    <w:name w:val="Legenda Char"/>
    <w:basedOn w:val="DefaultParagraphFont"/>
    <w:link w:val="Legenda"/>
    <w:qFormat/>
    <w:rPr/>
  </w:style>
  <w:style w:type="character" w:styleId="VerbatimChar" w:customStyle="1">
    <w:name w:val="Verbatim Char"/>
    <w:basedOn w:val="LegendaChar"/>
    <w:link w:val="SourceCode"/>
    <w:qFormat/>
    <w:rPr>
      <w:rFonts w:ascii="Consolas" w:hAnsi="Consolas"/>
      <w:sz w:val="22"/>
    </w:rPr>
  </w:style>
  <w:style w:type="character" w:styleId="SectionNumber" w:customStyle="1">
    <w:name w:val="Section Number"/>
    <w:basedOn w:val="LegendaChar"/>
    <w:qFormat/>
    <w:rPr/>
  </w:style>
  <w:style w:type="character" w:styleId="Ncoradanotaderodap">
    <w:name w:val="Âncora da nota de rodapé"/>
    <w:rPr>
      <w:vertAlign w:val="superscript"/>
    </w:rPr>
  </w:style>
  <w:style w:type="character" w:styleId="FootnoteCharacters">
    <w:name w:val="Footnote Characters"/>
    <w:basedOn w:val="LegendaChar"/>
    <w:qFormat/>
    <w:rPr>
      <w:vertAlign w:val="superscript"/>
    </w:rPr>
  </w:style>
  <w:style w:type="character" w:styleId="LinkdaInternet">
    <w:name w:val="Link da Internet"/>
    <w:basedOn w:val="LegendaChar"/>
    <w:rPr>
      <w:color w:val="156082" w:themeColor="accent1"/>
    </w:rPr>
  </w:style>
  <w:style w:type="character" w:styleId="KeywordTok" w:customStyle="1">
    <w:name w:val="KeywordTok"/>
    <w:basedOn w:val="VerbatimChar"/>
    <w:qFormat/>
    <w:rPr>
      <w:rFonts w:ascii="Consolas" w:hAnsi="Consolas"/>
      <w:b/>
      <w:color w:val="007020"/>
      <w:sz w:val="22"/>
    </w:rPr>
  </w:style>
  <w:style w:type="character" w:styleId="DataTypeTok" w:customStyle="1">
    <w:name w:val="DataTypeTok"/>
    <w:basedOn w:val="VerbatimChar"/>
    <w:qFormat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qFormat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qFormat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qFormat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qFormat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qFormat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qFormat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qFormat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qFormat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qFormat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qFormat/>
    <w:rPr>
      <w:rFonts w:ascii="Consolas" w:hAnsi="Consolas"/>
      <w:b/>
      <w:color w:val="008000"/>
      <w:sz w:val="22"/>
    </w:rPr>
  </w:style>
  <w:style w:type="character" w:styleId="CommentTok" w:customStyle="1">
    <w:name w:val="CommentTok"/>
    <w:basedOn w:val="VerbatimChar"/>
    <w:qFormat/>
    <w:rPr>
      <w:rFonts w:ascii="Consolas" w:hAnsi="Consolas"/>
      <w:i/>
      <w:color w:val="60A0B0"/>
      <w:sz w:val="22"/>
    </w:rPr>
  </w:style>
  <w:style w:type="character" w:styleId="DocumentationTok" w:customStyle="1">
    <w:name w:val="DocumentationTok"/>
    <w:basedOn w:val="VerbatimChar"/>
    <w:qFormat/>
    <w:rPr>
      <w:rFonts w:ascii="Consolas" w:hAnsi="Consolas"/>
      <w:i/>
      <w:color w:val="BA2121"/>
      <w:sz w:val="22"/>
    </w:rPr>
  </w:style>
  <w:style w:type="character" w:styleId="AnnotationTok" w:customStyle="1">
    <w:name w:val="Annotation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CommentVarTok" w:customStyle="1">
    <w:name w:val="CommentVar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OtherTok" w:customStyle="1">
    <w:name w:val="OtherTok"/>
    <w:basedOn w:val="VerbatimChar"/>
    <w:qFormat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qFormat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qFormat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qFormat/>
    <w:rPr>
      <w:rFonts w:ascii="Consolas" w:hAnsi="Consolas"/>
      <w:b/>
      <w:color w:val="007020"/>
      <w:sz w:val="22"/>
    </w:rPr>
  </w:style>
  <w:style w:type="character" w:styleId="OperatorTok" w:customStyle="1">
    <w:name w:val="OperatorTok"/>
    <w:basedOn w:val="VerbatimChar"/>
    <w:qFormat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qFormat/>
    <w:rPr>
      <w:rFonts w:ascii="Consolas" w:hAnsi="Consolas"/>
      <w:color w:val="008000"/>
      <w:sz w:val="22"/>
    </w:rPr>
  </w:style>
  <w:style w:type="character" w:styleId="ExtensionTok" w:customStyle="1">
    <w:name w:val="ExtensionTok"/>
    <w:basedOn w:val="VerbatimChar"/>
    <w:qFormat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qFormat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qFormat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qFormat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WarningTok" w:customStyle="1">
    <w:name w:val="Warning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AlertTok" w:customStyle="1">
    <w:name w:val="AlertTok"/>
    <w:basedOn w:val="VerbatimChar"/>
    <w:qFormat/>
    <w:rPr>
      <w:rFonts w:ascii="Consolas" w:hAnsi="Consolas"/>
      <w:b/>
      <w:color w:val="FF0000"/>
      <w:sz w:val="22"/>
    </w:rPr>
  </w:style>
  <w:style w:type="character" w:styleId="ErrorTok" w:customStyle="1">
    <w:name w:val="ErrorTok"/>
    <w:basedOn w:val="VerbatimChar"/>
    <w:qFormat/>
    <w:rPr>
      <w:rFonts w:ascii="Consolas" w:hAnsi="Consolas"/>
      <w:b/>
      <w:color w:val="FF0000"/>
      <w:sz w:val="22"/>
    </w:rPr>
  </w:style>
  <w:style w:type="character" w:styleId="NormalTok" w:customStyle="1">
    <w:name w:val="NormalTok"/>
    <w:basedOn w:val="VerbatimChar"/>
    <w:qFormat/>
    <w:rPr>
      <w:rFonts w:ascii="Consolas" w:hAnsi="Consolas"/>
      <w:sz w:val="22"/>
    </w:rPr>
  </w:style>
  <w:style w:type="character" w:styleId="CabealhoChar" w:customStyle="1">
    <w:name w:val="Cabeçalho Char"/>
    <w:basedOn w:val="DefaultParagraphFont"/>
    <w:link w:val="Cabealho"/>
    <w:qFormat/>
    <w:rsid w:val="003522fc"/>
    <w:rPr/>
  </w:style>
  <w:style w:type="character" w:styleId="RodapChar" w:customStyle="1">
    <w:name w:val="Rodapé Char"/>
    <w:basedOn w:val="DefaultParagraphFont"/>
    <w:link w:val="Rodap"/>
    <w:qFormat/>
    <w:rsid w:val="003522fc"/>
    <w:rPr/>
  </w:style>
  <w:style w:type="character" w:styleId="TextodebaloChar" w:customStyle="1">
    <w:name w:val="Texto de balão Char"/>
    <w:basedOn w:val="DefaultParagraphFont"/>
    <w:link w:val="Textodebalo"/>
    <w:semiHidden/>
    <w:qFormat/>
    <w:rsid w:val="00cc2410"/>
    <w:rPr>
      <w:rFonts w:ascii="Segoe UI" w:hAnsi="Segoe UI" w:cs="Segoe UI"/>
      <w:sz w:val="18"/>
      <w:szCs w:val="18"/>
    </w:rPr>
  </w:style>
  <w:style w:type="character" w:styleId="Caracteresdenotaderodap">
    <w:name w:val="Caracteres de nota de rodapé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qFormat/>
    <w:pPr>
      <w:spacing w:before="180" w:after="18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FirstParagraph" w:customStyle="1">
    <w:name w:val="First Paragraph"/>
    <w:basedOn w:val="Corpodotexto"/>
    <w:next w:val="Corpodotexto"/>
    <w:qFormat/>
    <w:pPr/>
    <w:rPr/>
  </w:style>
  <w:style w:type="paragraph" w:styleId="Compact" w:customStyle="1">
    <w:name w:val="Compact"/>
    <w:basedOn w:val="Corpodotexto"/>
    <w:qFormat/>
    <w:pPr>
      <w:spacing w:before="36" w:after="36"/>
    </w:pPr>
    <w:rPr/>
  </w:style>
  <w:style w:type="paragraph" w:styleId="Ttulododocumento">
    <w:name w:val="Title"/>
    <w:basedOn w:val="Normal"/>
    <w:next w:val="Corpodotexto"/>
    <w:link w:val="TtuloChar"/>
    <w:uiPriority w:val="10"/>
    <w:qFormat/>
    <w:rsid w:val="00a10fd9"/>
    <w:pPr>
      <w:spacing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tulo">
    <w:name w:val="Subtitle"/>
    <w:basedOn w:val="Ttulododocumento"/>
    <w:next w:val="Corpodotexto"/>
    <w:link w:val="SubttuloChar"/>
    <w:uiPriority w:val="11"/>
    <w:qFormat/>
    <w:rsid w:val="00a10fd9"/>
    <w:pPr/>
    <w:rPr>
      <w:spacing w:val="15"/>
      <w:sz w:val="28"/>
      <w:szCs w:val="28"/>
    </w:rPr>
  </w:style>
  <w:style w:type="paragraph" w:styleId="Author" w:customStyle="1">
    <w:name w:val="Author"/>
    <w:next w:val="Corpodotexto"/>
    <w:qFormat/>
    <w:pPr>
      <w:keepNext w:val="true"/>
      <w:keepLines/>
      <w:widowControl/>
      <w:bidi w:val="0"/>
      <w:spacing w:before="0" w:after="200"/>
      <w:jc w:val="center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Date">
    <w:name w:val="Date"/>
    <w:next w:val="Corpodotexto"/>
    <w:qFormat/>
    <w:pPr>
      <w:keepNext w:val="true"/>
      <w:keepLines/>
      <w:widowControl/>
      <w:bidi w:val="0"/>
      <w:spacing w:before="0" w:after="200"/>
      <w:jc w:val="center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Corpodotexto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Corpodotexto"/>
    <w:next w:val="Corpodotexto"/>
    <w:uiPriority w:val="9"/>
    <w:unhideWhenUsed/>
    <w:qFormat/>
    <w:pPr>
      <w:spacing w:before="100" w:after="100"/>
      <w:ind w:left="480" w:right="480" w:hanging="0"/>
    </w:pPr>
    <w:rPr/>
  </w:style>
  <w:style w:type="paragraph" w:styleId="Notaderodap">
    <w:name w:val="Footnote Text"/>
    <w:basedOn w:val="Normal"/>
    <w:uiPriority w:val="9"/>
    <w:unhideWhenUsed/>
    <w:qFormat/>
    <w:pPr/>
    <w:rPr/>
  </w:style>
  <w:style w:type="paragraph" w:styleId="FootnoteBlockText" w:customStyle="1">
    <w:name w:val="Footnote Block Text"/>
    <w:basedOn w:val="Notaderodap"/>
    <w:next w:val="Notaderodap"/>
    <w:uiPriority w:val="9"/>
    <w:unhideWhenUsed/>
    <w:qFormat/>
    <w:pPr>
      <w:spacing w:before="100" w:after="100"/>
      <w:ind w:left="480" w:right="480" w:hanging="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Caption">
    <w:name w:val="caption"/>
    <w:basedOn w:val="Normal"/>
    <w:link w:val="LegendaChar"/>
    <w:qFormat/>
    <w:pPr>
      <w:spacing w:before="0" w:after="120"/>
    </w:pPr>
    <w:rPr>
      <w:i/>
    </w:rPr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a" w:customStyle="1">
    <w:name w:val="Figura"/>
    <w:basedOn w:val="Normal"/>
    <w:qFormat/>
    <w:pPr/>
    <w:rPr/>
  </w:style>
  <w:style w:type="paragraph" w:styleId="CaptionedFigure" w:customStyle="1">
    <w:name w:val="Captioned Figure"/>
    <w:basedOn w:val="Figura"/>
    <w:qFormat/>
    <w:pPr>
      <w:keepNext w:val="true"/>
    </w:pPr>
    <w:rPr/>
  </w:style>
  <w:style w:type="paragraph" w:styleId="TOCHeading">
    <w:name w:val="TOC Heading"/>
    <w:basedOn w:val="Ttulo1"/>
    <w:next w:val="Corpodotexto"/>
    <w:uiPriority w:val="39"/>
    <w:unhideWhenUsed/>
    <w:qFormat/>
    <w:pPr>
      <w:spacing w:lineRule="auto" w:line="259" w:before="240" w:after="80"/>
    </w:pPr>
    <w:rPr/>
  </w:style>
  <w:style w:type="paragraph" w:styleId="SourceCode" w:customStyle="1">
    <w:name w:val="Source Code"/>
    <w:basedOn w:val="Normal"/>
    <w:link w:val="VerbatimChar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nhideWhenUsed/>
    <w:rsid w:val="003522fc"/>
    <w:pPr>
      <w:tabs>
        <w:tab w:val="clear" w:pos="720"/>
        <w:tab w:val="center" w:pos="4252" w:leader="none"/>
        <w:tab w:val="right" w:pos="8504" w:leader="none"/>
      </w:tabs>
      <w:spacing w:before="0" w:after="0"/>
    </w:pPr>
    <w:rPr/>
  </w:style>
  <w:style w:type="paragraph" w:styleId="Rodap">
    <w:name w:val="Footer"/>
    <w:basedOn w:val="Normal"/>
    <w:link w:val="RodapChar"/>
    <w:unhideWhenUsed/>
    <w:rsid w:val="003522fc"/>
    <w:pPr>
      <w:tabs>
        <w:tab w:val="clear" w:pos="720"/>
        <w:tab w:val="center" w:pos="4252" w:leader="none"/>
        <w:tab w:val="right" w:pos="8504" w:leader="none"/>
      </w:tabs>
      <w:spacing w:before="0" w:after="0"/>
    </w:pPr>
    <w:rPr/>
  </w:style>
  <w:style w:type="paragraph" w:styleId="Standard" w:customStyle="1">
    <w:name w:val="Standard"/>
    <w:qFormat/>
    <w:rsid w:val="003522fc"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0"/>
      <w:lang w:val="pt-BR" w:eastAsia="zh-CN" w:bidi="ar-SA"/>
    </w:rPr>
  </w:style>
  <w:style w:type="paragraph" w:styleId="BalloonText">
    <w:name w:val="Balloon Text"/>
    <w:basedOn w:val="Normal"/>
    <w:link w:val="TextodebaloChar"/>
    <w:semiHidden/>
    <w:unhideWhenUsed/>
    <w:qFormat/>
    <w:rsid w:val="00cc2410"/>
    <w:pPr>
      <w:spacing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Application>LibreOffice/7.1.4.2$Windows_X86_64 LibreOffice_project/a529a4fab45b75fefc5b6226684193eb000654f6</Application>
  <AppVersion>15.0000</AppVersion>
  <Pages>3</Pages>
  <Words>550</Words>
  <Characters>3265</Characters>
  <CharactersWithSpaces>3780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2026-01-29T13:42:00Z</dcterms:created>
  <dc:creator/>
  <dc:description/>
  <dc:language>pt-BR</dc:language>
  <cp:lastModifiedBy>Adm</cp:lastModifiedBy>
  <cp:lastPrinted>2026-03-23T14:11:00Z</cp:lastPrinted>
  <dcterms:modified xsi:type="dcterms:W3CDTF">2026-04-23T12:21:00Z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