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6E5E4FCF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177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DA4C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4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28923952" w:rsidR="00ED5CB5" w:rsidRDefault="00DA4CD6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13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C12FE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 w:rsidR="00D70F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D70F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30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</w:t>
      </w:r>
      <w:r w:rsidR="00C12FE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SEGUNDA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76D9A4E7" w14:textId="2702B585" w:rsidR="00C12FE9" w:rsidRDefault="00C12FE9" w:rsidP="00C12FE9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2DFA74C7" w14:textId="77777777" w:rsidR="00DA4CD6" w:rsidRPr="00C12FE9" w:rsidRDefault="00DA4CD6" w:rsidP="00C12FE9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73B28C8A" w14:textId="4B2A0B5C" w:rsidR="00736B71" w:rsidRPr="00DA4CD6" w:rsidRDefault="00DA4CD6" w:rsidP="00367696">
      <w:pPr>
        <w:pStyle w:val="SemEspaamento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  <w:lang w:eastAsia="pt-BR"/>
        </w:rPr>
      </w:pPr>
      <w:r w:rsidRPr="00DA4CD6">
        <w:rPr>
          <w:rFonts w:ascii="Times New Roman" w:hAnsi="Times New Roman" w:cs="Times New Roman"/>
          <w:sz w:val="24"/>
          <w:szCs w:val="24"/>
        </w:rPr>
        <w:t xml:space="preserve">Análise do Projeto de Lei nº 039/2026, que “Altera as Leis Municipais nº 463/2005, nº 1.300/2021 e nº 1.327/2021 para unificar as atribuições colegiadas na Comissão Permanente, incluir a condução do Processo Administrativo de Responsabilização (PAR), estabelecer requisitos de estabilidade aos membros, regulamentar a gratificação especial e da </w:t>
      </w:r>
      <w:r w:rsidRPr="00DA4CD6">
        <w:rPr>
          <w:rFonts w:ascii="Times New Roman" w:hAnsi="Times New Roman" w:cs="Times New Roman"/>
          <w:sz w:val="24"/>
          <w:szCs w:val="24"/>
        </w:rPr>
        <w:t>outras providências”</w:t>
      </w:r>
      <w:r w:rsidRPr="00DA4CD6">
        <w:rPr>
          <w:rFonts w:ascii="Times New Roman" w:hAnsi="Times New Roman" w:cs="Times New Roman"/>
          <w:sz w:val="24"/>
          <w:szCs w:val="24"/>
        </w:rPr>
        <w:t>, considerando a Emenda Substitutiva apresentada pelo autor.</w:t>
      </w:r>
      <w:r w:rsidR="00D70FAF" w:rsidRPr="00DA4C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54F7577"/>
    <w:multiLevelType w:val="hybridMultilevel"/>
    <w:tmpl w:val="0924E8D8"/>
    <w:lvl w:ilvl="0" w:tplc="545CD222">
      <w:start w:val="1"/>
      <w:numFmt w:val="decimalZero"/>
      <w:lvlText w:val="%1."/>
      <w:lvlJc w:val="left"/>
      <w:pPr>
        <w:ind w:left="78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7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9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5"/>
  </w:num>
  <w:num w:numId="24">
    <w:abstractNumId w:val="40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6"/>
  </w:num>
  <w:num w:numId="37">
    <w:abstractNumId w:val="33"/>
  </w:num>
  <w:num w:numId="38">
    <w:abstractNumId w:val="15"/>
  </w:num>
  <w:num w:numId="39">
    <w:abstractNumId w:val="41"/>
  </w:num>
  <w:num w:numId="40">
    <w:abstractNumId w:val="8"/>
  </w:num>
  <w:num w:numId="41">
    <w:abstractNumId w:val="6"/>
  </w:num>
  <w:num w:numId="42">
    <w:abstractNumId w:val="34"/>
  </w:num>
  <w:num w:numId="43">
    <w:abstractNumId w:val="32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77732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5EF8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2FE9"/>
    <w:rsid w:val="00C14871"/>
    <w:rsid w:val="00C27FF0"/>
    <w:rsid w:val="00C40EE2"/>
    <w:rsid w:val="00C4255E"/>
    <w:rsid w:val="00C622AE"/>
    <w:rsid w:val="00CC0030"/>
    <w:rsid w:val="00CF2E3B"/>
    <w:rsid w:val="00D03FB1"/>
    <w:rsid w:val="00D10F4B"/>
    <w:rsid w:val="00D15D4E"/>
    <w:rsid w:val="00D3557B"/>
    <w:rsid w:val="00D70FAF"/>
    <w:rsid w:val="00D86FCA"/>
    <w:rsid w:val="00DA4CD6"/>
    <w:rsid w:val="00DB0EB2"/>
    <w:rsid w:val="00E3401B"/>
    <w:rsid w:val="00E3553F"/>
    <w:rsid w:val="00E6219B"/>
    <w:rsid w:val="00EA01FB"/>
    <w:rsid w:val="00EB5C0A"/>
    <w:rsid w:val="00EC3616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2026-10-14T11:31:00Z</dcterms:created>
  <dcterms:modified xsi:type="dcterms:W3CDTF">2026-10-14T11:31:00Z</dcterms:modified>
</cp:coreProperties>
</file>