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2856A" w14:textId="0BC1C37E" w:rsidR="009E4D6E" w:rsidRPr="009E4D6E" w:rsidRDefault="00944AE0" w:rsidP="009E4D6E">
      <w:pPr>
        <w:shd w:val="clear" w:color="auto" w:fill="FFFFFF"/>
        <w:spacing w:before="96" w:after="96" w:line="240" w:lineRule="auto"/>
        <w:outlineLvl w:val="1"/>
        <w:rPr>
          <w:rFonts w:ascii="Times New Roman" w:eastAsia="Times New Roman" w:hAnsi="Times New Roman" w:cs="Times New Roman"/>
          <w:color w:val="1A1A1A"/>
          <w:spacing w:val="2"/>
          <w:sz w:val="48"/>
          <w:szCs w:val="48"/>
          <w:lang w:eastAsia="pt-BR"/>
        </w:rPr>
      </w:pPr>
      <w:r>
        <w:rPr>
          <w:rFonts w:ascii="Times New Roman" w:eastAsia="Times New Roman" w:hAnsi="Times New Roman" w:cs="Times New Roman"/>
          <w:noProof/>
          <w:color w:val="1A1A1A"/>
          <w:spacing w:val="2"/>
          <w:sz w:val="48"/>
          <w:szCs w:val="48"/>
          <w:lang w:eastAsia="pt-BR"/>
        </w:rPr>
        <w:drawing>
          <wp:inline distT="0" distB="0" distL="0" distR="0" wp14:anchorId="237562E3" wp14:editId="60872F81">
            <wp:extent cx="5400040" cy="135445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4D6E" w:rsidRPr="009E4D6E">
        <w:rPr>
          <w:rFonts w:ascii="Times New Roman" w:eastAsia="Times New Roman" w:hAnsi="Times New Roman" w:cs="Times New Roman"/>
          <w:color w:val="1A1A1A"/>
          <w:spacing w:val="2"/>
          <w:sz w:val="48"/>
          <w:szCs w:val="48"/>
          <w:lang w:eastAsia="pt-BR"/>
        </w:rPr>
        <w:t>Lei Paulo Gustavo</w:t>
      </w:r>
    </w:p>
    <w:p w14:paraId="71CEB0A0" w14:textId="02AC7A73" w:rsidR="009E4D6E" w:rsidRPr="009E4D6E" w:rsidRDefault="009E4D6E" w:rsidP="009E4D6E">
      <w:pPr>
        <w:shd w:val="clear" w:color="auto" w:fill="FFFFFF"/>
        <w:spacing w:after="0" w:line="360" w:lineRule="atLeast"/>
        <w:ind w:left="495"/>
        <w:rPr>
          <w:rFonts w:ascii="Open Sans" w:eastAsia="Times New Roman" w:hAnsi="Open Sans" w:cs="Open Sans"/>
          <w:color w:val="595959"/>
          <w:spacing w:val="2"/>
          <w:sz w:val="21"/>
          <w:szCs w:val="21"/>
          <w:lang w:eastAsia="pt-BR"/>
        </w:rPr>
      </w:pPr>
    </w:p>
    <w:p w14:paraId="215AD533" w14:textId="77777777" w:rsidR="009E4D6E" w:rsidRPr="009E4D6E" w:rsidRDefault="009E4D6E" w:rsidP="009E4D6E">
      <w:pPr>
        <w:shd w:val="clear" w:color="auto" w:fill="FFFFFF"/>
        <w:spacing w:after="150" w:line="420" w:lineRule="atLeast"/>
        <w:rPr>
          <w:rFonts w:ascii="Open Sans" w:eastAsia="Times New Roman" w:hAnsi="Open Sans" w:cs="Open Sans"/>
          <w:color w:val="585858"/>
          <w:spacing w:val="2"/>
          <w:sz w:val="23"/>
          <w:szCs w:val="23"/>
          <w:lang w:eastAsia="pt-BR"/>
        </w:rPr>
      </w:pPr>
      <w:r w:rsidRPr="009E4D6E">
        <w:rPr>
          <w:rFonts w:ascii="Open Sans" w:eastAsia="Times New Roman" w:hAnsi="Open Sans" w:cs="Open Sans"/>
          <w:b/>
          <w:bCs/>
          <w:color w:val="585858"/>
          <w:spacing w:val="2"/>
          <w:sz w:val="23"/>
          <w:szCs w:val="23"/>
          <w:lang w:eastAsia="pt-BR"/>
        </w:rPr>
        <w:t>SOBRE A LEI PAULO GUSTAVO</w:t>
      </w:r>
    </w:p>
    <w:p w14:paraId="34B1CEBC" w14:textId="77777777" w:rsidR="009E4D6E" w:rsidRPr="009E4D6E" w:rsidRDefault="009E4D6E" w:rsidP="009E4D6E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Open Sans"/>
          <w:color w:val="585858"/>
          <w:spacing w:val="2"/>
          <w:lang w:eastAsia="pt-BR"/>
        </w:rPr>
      </w:pPr>
      <w:r w:rsidRPr="009E4D6E">
        <w:rPr>
          <w:rFonts w:ascii="Open Sans" w:eastAsia="Times New Roman" w:hAnsi="Open Sans" w:cs="Open Sans"/>
          <w:color w:val="585858"/>
          <w:spacing w:val="2"/>
          <w:lang w:eastAsia="pt-BR"/>
        </w:rPr>
        <w:t>A Lei Paulo Gustavo é uma ação direta do Governo Federal, através do Ministério da Cultura, para mitigação dos impactos da pandemia sofridos pelo setor cultural. Essencialmente é uma LEI EMERGENCIAL e histórica, amplamente articulada nacionalmente pelo setor. A Lei é uma ação que visa reestabelecer as cadeias econômicas da cultura, incentivando os agentes e atraindo novamente a mão de obra qualifica para o setor.</w:t>
      </w:r>
    </w:p>
    <w:p w14:paraId="2454C788" w14:textId="77777777" w:rsidR="009E4D6E" w:rsidRPr="009E4D6E" w:rsidRDefault="009E4D6E" w:rsidP="009E4D6E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Open Sans"/>
          <w:color w:val="585858"/>
          <w:spacing w:val="2"/>
          <w:lang w:eastAsia="pt-BR"/>
        </w:rPr>
      </w:pPr>
      <w:r w:rsidRPr="009E4D6E">
        <w:rPr>
          <w:rFonts w:ascii="Open Sans" w:eastAsia="Times New Roman" w:hAnsi="Open Sans" w:cs="Open Sans"/>
          <w:color w:val="585858"/>
          <w:spacing w:val="2"/>
          <w:lang w:eastAsia="pt-BR"/>
        </w:rPr>
        <w:t>Os recursos da Lei Paulo Gustavo são provenientes do superávit financeiro do Fundo Nacional da Cultura (FNC) acumulado e do Fundo Setorial do Audiovisual. São destinados aproximadamente: 70% para o setor audiovisual e 30% para outras linguagens artísticas. Ao todo serão injetados mais de 3 bilhões no segmento da cultura em 2023 apenas através da Lei Paulo Gustavo.</w:t>
      </w:r>
    </w:p>
    <w:p w14:paraId="105F9BA9" w14:textId="3EE36827" w:rsidR="00AB6F4E" w:rsidRDefault="009E4D6E" w:rsidP="009E4D6E">
      <w:pPr>
        <w:shd w:val="clear" w:color="auto" w:fill="FFFFFF"/>
        <w:spacing w:after="150" w:line="420" w:lineRule="atLeast"/>
        <w:jc w:val="both"/>
        <w:rPr>
          <w:rFonts w:ascii="Open Sans" w:eastAsia="Times New Roman" w:hAnsi="Open Sans" w:cs="Open Sans"/>
          <w:color w:val="585858"/>
          <w:spacing w:val="2"/>
          <w:lang w:eastAsia="pt-BR"/>
        </w:rPr>
      </w:pPr>
      <w:r w:rsidRPr="009E4D6E">
        <w:rPr>
          <w:rFonts w:ascii="Open Sans" w:eastAsia="Times New Roman" w:hAnsi="Open Sans" w:cs="Open Sans"/>
          <w:color w:val="585858"/>
          <w:spacing w:val="2"/>
          <w:lang w:eastAsia="pt-BR"/>
        </w:rPr>
        <w:t>O princípio básico da Lei Paulo Gustavo está ancorado no Sistema Nacional de Cultura (SNC), que prevê a participação ativa da Sociedade Civil. Esta participação está prevista no art</w:t>
      </w:r>
      <w:r>
        <w:rPr>
          <w:rFonts w:ascii="Open Sans" w:eastAsia="Times New Roman" w:hAnsi="Open Sans" w:cs="Open Sans"/>
          <w:color w:val="585858"/>
          <w:spacing w:val="2"/>
          <w:lang w:eastAsia="pt-BR"/>
        </w:rPr>
        <w:t>.</w:t>
      </w:r>
      <w:r w:rsidRPr="009E4D6E">
        <w:rPr>
          <w:rFonts w:ascii="Open Sans" w:eastAsia="Times New Roman" w:hAnsi="Open Sans" w:cs="Open Sans"/>
          <w:color w:val="585858"/>
          <w:spacing w:val="2"/>
          <w:lang w:eastAsia="pt-BR"/>
        </w:rPr>
        <w:t xml:space="preserve"> 1</w:t>
      </w:r>
      <w:r>
        <w:rPr>
          <w:rFonts w:ascii="Open Sans" w:eastAsia="Times New Roman" w:hAnsi="Open Sans" w:cs="Open Sans"/>
          <w:color w:val="585858"/>
          <w:spacing w:val="2"/>
          <w:lang w:eastAsia="pt-BR"/>
        </w:rPr>
        <w:t>º</w:t>
      </w:r>
      <w:r w:rsidRPr="009E4D6E">
        <w:rPr>
          <w:rFonts w:ascii="Open Sans" w:eastAsia="Times New Roman" w:hAnsi="Open Sans" w:cs="Open Sans"/>
          <w:color w:val="585858"/>
          <w:spacing w:val="2"/>
          <w:lang w:eastAsia="pt-BR"/>
        </w:rPr>
        <w:t xml:space="preserve"> da LPG e atende os critérios do art. 216-A da Constituição Federal. Sendo assim, embora os recursos já cheguem fracionados e destinados especificadamente aos Art</w:t>
      </w:r>
      <w:r>
        <w:rPr>
          <w:rFonts w:ascii="Open Sans" w:eastAsia="Times New Roman" w:hAnsi="Open Sans" w:cs="Open Sans"/>
          <w:color w:val="585858"/>
          <w:spacing w:val="2"/>
          <w:lang w:eastAsia="pt-BR"/>
        </w:rPr>
        <w:t>i</w:t>
      </w:r>
      <w:r w:rsidRPr="009E4D6E">
        <w:rPr>
          <w:rFonts w:ascii="Open Sans" w:eastAsia="Times New Roman" w:hAnsi="Open Sans" w:cs="Open Sans"/>
          <w:color w:val="585858"/>
          <w:spacing w:val="2"/>
          <w:lang w:eastAsia="pt-BR"/>
        </w:rPr>
        <w:t>s</w:t>
      </w:r>
      <w:r>
        <w:rPr>
          <w:rFonts w:ascii="Open Sans" w:eastAsia="Times New Roman" w:hAnsi="Open Sans" w:cs="Open Sans"/>
          <w:color w:val="585858"/>
          <w:spacing w:val="2"/>
          <w:lang w:eastAsia="pt-BR"/>
        </w:rPr>
        <w:t>tas</w:t>
      </w:r>
      <w:r w:rsidRPr="009E4D6E">
        <w:rPr>
          <w:rFonts w:ascii="Open Sans" w:eastAsia="Times New Roman" w:hAnsi="Open Sans" w:cs="Open Sans"/>
          <w:color w:val="585858"/>
          <w:spacing w:val="2"/>
          <w:lang w:eastAsia="pt-BR"/>
        </w:rPr>
        <w:t xml:space="preserve"> mencionados (6o e 8o) a forma da distribuição, montantes e critérios devem ser debatidos através de encontros com a Sociedade Civil organizada.</w:t>
      </w:r>
    </w:p>
    <w:p w14:paraId="6B1DC4A4" w14:textId="51E97CB4" w:rsidR="009E4D6E" w:rsidRDefault="009E4D6E" w:rsidP="009E4D6E">
      <w:pPr>
        <w:shd w:val="clear" w:color="auto" w:fill="FFFFFF"/>
        <w:spacing w:after="150" w:line="420" w:lineRule="atLeast"/>
        <w:jc w:val="both"/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  <w:t>ACESSE A LEGISLAÇÃO NA ÍNTEGRA:</w:t>
      </w:r>
    </w:p>
    <w:p w14:paraId="0561D498" w14:textId="5A72B193" w:rsidR="009E4D6E" w:rsidRDefault="009E4D6E" w:rsidP="009E4D6E">
      <w:pPr>
        <w:shd w:val="clear" w:color="auto" w:fill="FFFFFF"/>
        <w:spacing w:after="150" w:line="420" w:lineRule="atLeast"/>
        <w:jc w:val="both"/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  <w:t>Lei complementar nº 195/2022 (Lei Paulo Gustavo)</w:t>
      </w:r>
    </w:p>
    <w:p w14:paraId="7D132C5D" w14:textId="11397683" w:rsidR="009E4D6E" w:rsidRDefault="00000000" w:rsidP="009E4D6E">
      <w:pPr>
        <w:shd w:val="clear" w:color="auto" w:fill="FFFFFF"/>
        <w:spacing w:after="150" w:line="420" w:lineRule="atLeast"/>
        <w:jc w:val="both"/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</w:pPr>
      <w:hyperlink r:id="rId6" w:history="1">
        <w:r w:rsidR="009E4D6E">
          <w:rPr>
            <w:rStyle w:val="Hyperlink"/>
            <w:rFonts w:ascii="Open Sans" w:hAnsi="Open Sans" w:cs="Open Sans"/>
            <w:b/>
            <w:bCs/>
            <w:color w:val="006AA6"/>
            <w:spacing w:val="2"/>
            <w:sz w:val="23"/>
            <w:szCs w:val="23"/>
          </w:rPr>
          <w:t>https://www.planalto.gov.br/ccivil_03/leis/lcp/lcp195.htm</w:t>
        </w:r>
      </w:hyperlink>
    </w:p>
    <w:p w14:paraId="0BBE8840" w14:textId="77777777" w:rsidR="009E4D6E" w:rsidRDefault="009E4D6E" w:rsidP="009E4D6E">
      <w:pPr>
        <w:shd w:val="clear" w:color="auto" w:fill="FFFFFF"/>
        <w:spacing w:after="150" w:line="420" w:lineRule="atLeast"/>
        <w:jc w:val="both"/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</w:pPr>
    </w:p>
    <w:p w14:paraId="64842B6C" w14:textId="132BA0A5" w:rsidR="009E4D6E" w:rsidRDefault="009E4D6E" w:rsidP="009E4D6E">
      <w:pPr>
        <w:shd w:val="clear" w:color="auto" w:fill="FFFFFF"/>
        <w:spacing w:after="150" w:line="420" w:lineRule="atLeast"/>
        <w:jc w:val="both"/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  <w:lastRenderedPageBreak/>
        <w:t>Decreto nº 11.453 (novo decreto do fomento cultura)</w:t>
      </w:r>
    </w:p>
    <w:p w14:paraId="6F6DF427" w14:textId="277DBC78" w:rsidR="009E4D6E" w:rsidRDefault="00000000" w:rsidP="009E4D6E">
      <w:pPr>
        <w:shd w:val="clear" w:color="auto" w:fill="FFFFFF"/>
        <w:spacing w:after="150" w:line="420" w:lineRule="atLeast"/>
        <w:jc w:val="both"/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</w:pPr>
      <w:hyperlink r:id="rId7" w:history="1">
        <w:r w:rsidR="009E4D6E">
          <w:rPr>
            <w:rStyle w:val="Hyperlink"/>
            <w:rFonts w:ascii="Open Sans" w:hAnsi="Open Sans" w:cs="Open Sans"/>
            <w:b/>
            <w:bCs/>
            <w:color w:val="006AA6"/>
            <w:spacing w:val="2"/>
            <w:sz w:val="23"/>
            <w:szCs w:val="23"/>
          </w:rPr>
          <w:t>http://www.planalto.gov.br/ccivil_03/_ato2023-2026/2023/decreto/D11453.htm</w:t>
        </w:r>
      </w:hyperlink>
    </w:p>
    <w:p w14:paraId="1DB40A6F" w14:textId="2FB6FEBA" w:rsidR="009E4D6E" w:rsidRDefault="009E4D6E" w:rsidP="009E4D6E">
      <w:pPr>
        <w:shd w:val="clear" w:color="auto" w:fill="FFFFFF"/>
        <w:spacing w:after="150" w:line="420" w:lineRule="atLeast"/>
        <w:jc w:val="both"/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  <w:t>Decreto nº 11.525, de 11 de maio de 2023 (regulamentação da Lei Paulo Gustavo)</w:t>
      </w:r>
    </w:p>
    <w:p w14:paraId="4B17FBBF" w14:textId="77777777" w:rsidR="009E4D6E" w:rsidRDefault="00000000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hyperlink r:id="rId8" w:history="1">
        <w:r w:rsidR="009E4D6E">
          <w:rPr>
            <w:rStyle w:val="Hyperlink"/>
            <w:rFonts w:ascii="Open Sans" w:hAnsi="Open Sans" w:cs="Open Sans"/>
            <w:b/>
            <w:bCs/>
            <w:color w:val="006AA6"/>
            <w:spacing w:val="2"/>
            <w:sz w:val="23"/>
            <w:szCs w:val="23"/>
          </w:rPr>
          <w:t>https://www.in.gov.br/web/dou/-/decreto-n-11.525-de-11-de-maio-de-2023-482720690</w:t>
        </w:r>
      </w:hyperlink>
    </w:p>
    <w:p w14:paraId="1A56E63C" w14:textId="340346A0" w:rsidR="009E4D6E" w:rsidRDefault="009E4D6E" w:rsidP="009E4D6E">
      <w:pPr>
        <w:shd w:val="clear" w:color="auto" w:fill="FFFFFF"/>
        <w:spacing w:after="150" w:line="420" w:lineRule="atLeast"/>
        <w:jc w:val="both"/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  <w:t>PARA O MUNICÍPIO DE SÃO NICOLAU, O REPASSE TOTAL É DE R$ 64.641,73.</w:t>
      </w:r>
    </w:p>
    <w:p w14:paraId="7CB928DC" w14:textId="77777777" w:rsidR="009E4D6E" w:rsidRDefault="009E4D6E" w:rsidP="009E4D6E">
      <w:pPr>
        <w:shd w:val="clear" w:color="auto" w:fill="FFFFFF"/>
        <w:spacing w:after="150" w:line="420" w:lineRule="atLeast"/>
        <w:jc w:val="both"/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</w:pPr>
    </w:p>
    <w:p w14:paraId="2FBBEBC1" w14:textId="77777777" w:rsidR="009E4D6E" w:rsidRDefault="009E4D6E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ESPECÍFICO:</w:t>
      </w:r>
    </w:p>
    <w:p w14:paraId="57500D20" w14:textId="77777777" w:rsidR="009E4D6E" w:rsidRDefault="009E4D6E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Meta 1 (52,98%) – R$ 77.829,73</w:t>
      </w:r>
    </w:p>
    <w:p w14:paraId="35145F70" w14:textId="77777777" w:rsidR="009E4D6E" w:rsidRDefault="009E4D6E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Apoio a Produções Audiovisuais</w:t>
      </w:r>
    </w:p>
    <w:p w14:paraId="699E2B38" w14:textId="77777777" w:rsidR="009E4D6E" w:rsidRDefault="009E4D6E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 </w:t>
      </w:r>
    </w:p>
    <w:p w14:paraId="73ECF3E2" w14:textId="77777777" w:rsidR="009E4D6E" w:rsidRDefault="009E4D6E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Meta 2 (12,11%) – R$ 17.790,07</w:t>
      </w:r>
    </w:p>
    <w:p w14:paraId="64551E8F" w14:textId="77777777" w:rsidR="009E4D6E" w:rsidRDefault="009E4D6E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Apoio a salas de cinema de cinema</w:t>
      </w:r>
    </w:p>
    <w:p w14:paraId="30823EB9" w14:textId="77777777" w:rsidR="009E4D6E" w:rsidRDefault="009E4D6E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 </w:t>
      </w:r>
    </w:p>
    <w:p w14:paraId="0FAD12D5" w14:textId="77777777" w:rsidR="009E4D6E" w:rsidRDefault="009E4D6E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Meta 3 (6,08%) – R$ 8.931,76</w:t>
      </w:r>
    </w:p>
    <w:p w14:paraId="7DB81DC3" w14:textId="77777777" w:rsidR="009E4D6E" w:rsidRDefault="009E4D6E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Formação, qualificação e difusão</w:t>
      </w:r>
    </w:p>
    <w:p w14:paraId="1B5ABE60" w14:textId="77777777" w:rsidR="009E4D6E" w:rsidRDefault="009E4D6E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 </w:t>
      </w:r>
    </w:p>
    <w:p w14:paraId="03461829" w14:textId="77777777" w:rsidR="009E4D6E" w:rsidRDefault="009E4D6E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Meta 4 (28,83%) – R$ 42.352,42</w:t>
      </w:r>
    </w:p>
    <w:p w14:paraId="3319819C" w14:textId="77777777" w:rsidR="009E4D6E" w:rsidRDefault="009E4D6E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Demais áreas da cultura</w:t>
      </w:r>
    </w:p>
    <w:p w14:paraId="748E17A9" w14:textId="77777777" w:rsidR="009E4D6E" w:rsidRDefault="009E4D6E" w:rsidP="009E4D6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Fonts w:ascii="Open Sans" w:hAnsi="Open Sans" w:cs="Open Sans"/>
          <w:color w:val="585858"/>
          <w:spacing w:val="2"/>
          <w:sz w:val="23"/>
          <w:szCs w:val="23"/>
        </w:rPr>
        <w:t>O município vem se organizando para que o recebimento e a aplicação/distribuição dos recursos aconteçam de forma adequada e planejada em todas as suas etapas, prezando sempre pela construção coletiva.</w:t>
      </w:r>
    </w:p>
    <w:p w14:paraId="3F82BDB6" w14:textId="77777777" w:rsidR="009E4D6E" w:rsidRDefault="009E4D6E" w:rsidP="009E4D6E">
      <w:pPr>
        <w:shd w:val="clear" w:color="auto" w:fill="FFFFFF"/>
        <w:spacing w:after="150" w:line="420" w:lineRule="atLeast"/>
        <w:jc w:val="both"/>
        <w:rPr>
          <w:rStyle w:val="Forte"/>
          <w:rFonts w:ascii="Open Sans" w:hAnsi="Open Sans" w:cs="Open Sans"/>
          <w:color w:val="585858"/>
          <w:spacing w:val="2"/>
          <w:sz w:val="23"/>
          <w:szCs w:val="23"/>
          <w:shd w:val="clear" w:color="auto" w:fill="FFFFFF"/>
        </w:rPr>
      </w:pPr>
    </w:p>
    <w:p w14:paraId="1436894A" w14:textId="77777777" w:rsidR="00AB6F4E" w:rsidRDefault="00AB6F4E" w:rsidP="00AB6F4E">
      <w:pPr>
        <w:pStyle w:val="NormalWeb"/>
        <w:shd w:val="clear" w:color="auto" w:fill="FFFFFF"/>
        <w:spacing w:before="0" w:beforeAutospacing="0" w:after="150" w:afterAutospacing="0" w:line="420" w:lineRule="atLeast"/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</w:pPr>
    </w:p>
    <w:p w14:paraId="542768CA" w14:textId="77777777" w:rsidR="00AB6F4E" w:rsidRDefault="00AB6F4E" w:rsidP="00AB6F4E">
      <w:pPr>
        <w:pStyle w:val="NormalWeb"/>
        <w:shd w:val="clear" w:color="auto" w:fill="FFFFFF"/>
        <w:spacing w:before="0" w:beforeAutospacing="0" w:after="150" w:afterAutospacing="0" w:line="420" w:lineRule="atLeast"/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</w:pPr>
    </w:p>
    <w:p w14:paraId="2C5EC7D1" w14:textId="0B3D926F" w:rsidR="00AB6F4E" w:rsidRDefault="00AB6F4E" w:rsidP="00AB6F4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MAPEAMENTO DE ARTISTAS E PROFISSIONAIS DE ARTE E CULTURA QUE ATUAM NO MUNICÍPIO DE SÃO NICOLAU</w:t>
      </w:r>
    </w:p>
    <w:p w14:paraId="4B246CE0" w14:textId="5A08E2FC" w:rsidR="00AB6F4E" w:rsidRDefault="00AB6F4E" w:rsidP="00AB6F4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Fonts w:ascii="Open Sans" w:hAnsi="Open Sans" w:cs="Open Sans"/>
          <w:color w:val="585858"/>
          <w:spacing w:val="2"/>
          <w:sz w:val="23"/>
          <w:szCs w:val="23"/>
        </w:rPr>
        <w:t xml:space="preserve">O cadastro é pelo seguinte link:  </w:t>
      </w:r>
      <w:hyperlink r:id="rId9" w:history="1">
        <w:r w:rsidRPr="00033FE9">
          <w:rPr>
            <w:rStyle w:val="Hyperlink"/>
            <w:rFonts w:ascii="Open Sans" w:hAnsi="Open Sans" w:cs="Open Sans"/>
            <w:spacing w:val="2"/>
            <w:sz w:val="23"/>
            <w:szCs w:val="23"/>
          </w:rPr>
          <w:t>https://forms.gle/DaLqtdFzt8DM5bV57</w:t>
        </w:r>
      </w:hyperlink>
      <w:r>
        <w:rPr>
          <w:rFonts w:ascii="Open Sans" w:hAnsi="Open Sans" w:cs="Open Sans"/>
          <w:color w:val="585858"/>
          <w:spacing w:val="2"/>
          <w:sz w:val="23"/>
          <w:szCs w:val="23"/>
        </w:rPr>
        <w:t xml:space="preserve"> ou pessoalmente na Secretaria de Turismo e Cultura da cidade.</w:t>
      </w:r>
    </w:p>
    <w:p w14:paraId="4F719FF2" w14:textId="75182453" w:rsidR="00AB6F4E" w:rsidRPr="00AB6F4E" w:rsidRDefault="00AB6F4E" w:rsidP="00AB6F4E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b/>
          <w:bCs/>
          <w:color w:val="585858"/>
          <w:spacing w:val="2"/>
          <w:sz w:val="23"/>
          <w:szCs w:val="23"/>
        </w:rPr>
      </w:pPr>
      <w:r w:rsidRPr="00AB6F4E">
        <w:rPr>
          <w:rFonts w:ascii="Open Sans" w:hAnsi="Open Sans" w:cs="Open Sans"/>
          <w:b/>
          <w:bCs/>
          <w:color w:val="585858"/>
          <w:spacing w:val="2"/>
          <w:sz w:val="23"/>
          <w:szCs w:val="23"/>
        </w:rPr>
        <w:t>Período de preenchimento: de 08 de agosto de 2023 a 01 de setembro de 2023.</w:t>
      </w:r>
    </w:p>
    <w:p w14:paraId="664DDA3F" w14:textId="6D01239C" w:rsidR="009E4D6E" w:rsidRPr="00944AE0" w:rsidRDefault="00AB6F4E" w:rsidP="00944AE0">
      <w:pPr>
        <w:pStyle w:val="NormalWeb"/>
        <w:shd w:val="clear" w:color="auto" w:fill="FFFFFF"/>
        <w:spacing w:before="0" w:beforeAutospacing="0" w:after="150" w:afterAutospacing="0" w:line="420" w:lineRule="atLeast"/>
        <w:rPr>
          <w:rFonts w:ascii="Open Sans" w:hAnsi="Open Sans" w:cs="Open Sans"/>
          <w:color w:val="585858"/>
          <w:spacing w:val="2"/>
          <w:sz w:val="23"/>
          <w:szCs w:val="23"/>
        </w:rPr>
      </w:pPr>
      <w:r>
        <w:rPr>
          <w:rStyle w:val="Forte"/>
          <w:rFonts w:ascii="Open Sans" w:hAnsi="Open Sans" w:cs="Open Sans"/>
          <w:color w:val="585858"/>
          <w:spacing w:val="2"/>
          <w:sz w:val="23"/>
          <w:szCs w:val="23"/>
        </w:rPr>
        <w:t> </w:t>
      </w:r>
    </w:p>
    <w:p w14:paraId="7278CEA8" w14:textId="000D9E13" w:rsidR="00BC5233" w:rsidRPr="009E4D6E" w:rsidRDefault="00BC5233" w:rsidP="009E4D6E">
      <w:pPr>
        <w:jc w:val="both"/>
        <w:rPr>
          <w:sz w:val="20"/>
          <w:szCs w:val="20"/>
        </w:rPr>
      </w:pPr>
    </w:p>
    <w:sectPr w:rsidR="00BC5233" w:rsidRPr="009E4D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60265"/>
    <w:multiLevelType w:val="multilevel"/>
    <w:tmpl w:val="3062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438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6E"/>
    <w:rsid w:val="00944AE0"/>
    <w:rsid w:val="009E4D6E"/>
    <w:rsid w:val="00AB6F4E"/>
    <w:rsid w:val="00BC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703D"/>
  <w15:chartTrackingRefBased/>
  <w15:docId w15:val="{0E18C7F9-C266-48D8-9F52-5EAA4449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9E4D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9E4D6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9E4D6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E4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E4D6E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B6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291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5545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.gov.br/web/dou/-/decreto-n-11.525-de-11-de-maio-de-2023-48272069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_ato2023-2026/2023/decreto/D1145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alto.gov.br/ccivil_03/leis/lcp/lcp195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DaLqtdFzt8DM5bV5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 Maciel</dc:creator>
  <cp:keywords/>
  <dc:description/>
  <cp:lastModifiedBy>Stephani Maciel</cp:lastModifiedBy>
  <cp:revision>2</cp:revision>
  <dcterms:created xsi:type="dcterms:W3CDTF">2023-08-07T13:20:00Z</dcterms:created>
  <dcterms:modified xsi:type="dcterms:W3CDTF">2023-08-07T14:04:00Z</dcterms:modified>
</cp:coreProperties>
</file>