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1DE67" w14:textId="5E86C6A8" w:rsidR="00916DBE" w:rsidRPr="00825D37" w:rsidRDefault="00916DBE" w:rsidP="00916DBE">
      <w:pPr>
        <w:ind w:left="-284"/>
        <w:jc w:val="center"/>
        <w:rPr>
          <w:rFonts w:ascii="Arial" w:hAnsi="Arial" w:cs="Arial"/>
          <w:sz w:val="23"/>
          <w:szCs w:val="23"/>
        </w:rPr>
      </w:pPr>
      <w:r w:rsidRPr="00825D37">
        <w:rPr>
          <w:rFonts w:ascii="Arial" w:hAnsi="Arial" w:cs="Arial"/>
          <w:sz w:val="23"/>
          <w:szCs w:val="23"/>
        </w:rPr>
        <w:t>Ata n.º 15/2025</w:t>
      </w:r>
    </w:p>
    <w:p w14:paraId="161AAEC1" w14:textId="7477C4EA" w:rsidR="00563336" w:rsidRPr="00825D37" w:rsidRDefault="00774256" w:rsidP="00916DBE">
      <w:pPr>
        <w:pStyle w:val="CorpoA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825D37">
        <w:rPr>
          <w:rFonts w:ascii="Arial" w:hAnsi="Arial" w:cs="Arial"/>
          <w:sz w:val="23"/>
          <w:szCs w:val="23"/>
        </w:rPr>
        <w:t xml:space="preserve">Aos </w:t>
      </w:r>
      <w:r w:rsidR="00916DBE" w:rsidRPr="00825D37">
        <w:rPr>
          <w:rFonts w:ascii="Arial" w:hAnsi="Arial" w:cs="Arial"/>
          <w:sz w:val="23"/>
          <w:szCs w:val="23"/>
        </w:rPr>
        <w:t>19</w:t>
      </w:r>
      <w:r w:rsidRPr="00825D37">
        <w:rPr>
          <w:rFonts w:ascii="Arial" w:hAnsi="Arial" w:cs="Arial"/>
          <w:sz w:val="23"/>
          <w:szCs w:val="23"/>
        </w:rPr>
        <w:t xml:space="preserve"> dias do mês de </w:t>
      </w:r>
      <w:r w:rsidR="00916DBE" w:rsidRPr="00825D37">
        <w:rPr>
          <w:rFonts w:ascii="Arial" w:hAnsi="Arial" w:cs="Arial"/>
          <w:sz w:val="23"/>
          <w:szCs w:val="23"/>
        </w:rPr>
        <w:t>novembro</w:t>
      </w:r>
      <w:r w:rsidRPr="00825D37">
        <w:rPr>
          <w:rFonts w:ascii="Arial" w:hAnsi="Arial" w:cs="Arial"/>
          <w:sz w:val="23"/>
          <w:szCs w:val="23"/>
        </w:rPr>
        <w:t xml:space="preserve"> de 2025, às </w:t>
      </w:r>
      <w:r w:rsidR="00916DBE" w:rsidRPr="00825D37">
        <w:rPr>
          <w:rFonts w:ascii="Arial" w:hAnsi="Arial" w:cs="Arial"/>
          <w:sz w:val="23"/>
          <w:szCs w:val="23"/>
        </w:rPr>
        <w:t>10</w:t>
      </w:r>
      <w:r w:rsidRPr="00825D37">
        <w:rPr>
          <w:rFonts w:ascii="Arial" w:hAnsi="Arial" w:cs="Arial"/>
          <w:sz w:val="23"/>
          <w:szCs w:val="23"/>
        </w:rPr>
        <w:t>h</w:t>
      </w:r>
      <w:r w:rsidR="00916DBE" w:rsidRPr="00825D37">
        <w:rPr>
          <w:rFonts w:ascii="Arial" w:hAnsi="Arial" w:cs="Arial"/>
          <w:sz w:val="23"/>
          <w:szCs w:val="23"/>
        </w:rPr>
        <w:t>00</w:t>
      </w:r>
      <w:r w:rsidRPr="00825D37">
        <w:rPr>
          <w:rFonts w:ascii="Arial" w:hAnsi="Arial" w:cs="Arial"/>
          <w:sz w:val="23"/>
          <w:szCs w:val="23"/>
        </w:rPr>
        <w:t>min, reuniram-se</w:t>
      </w:r>
      <w:r w:rsidR="00916DBE" w:rsidRPr="00825D37">
        <w:rPr>
          <w:rFonts w:ascii="Arial" w:hAnsi="Arial" w:cs="Arial"/>
          <w:sz w:val="23"/>
          <w:szCs w:val="23"/>
        </w:rPr>
        <w:t xml:space="preserve"> extraordinariamente</w:t>
      </w:r>
      <w:r w:rsidRPr="00825D37">
        <w:rPr>
          <w:rFonts w:ascii="Arial" w:hAnsi="Arial" w:cs="Arial"/>
          <w:sz w:val="23"/>
          <w:szCs w:val="23"/>
        </w:rPr>
        <w:t xml:space="preserve">, </w:t>
      </w:r>
      <w:r w:rsidR="00916DBE" w:rsidRPr="00825D37">
        <w:rPr>
          <w:rFonts w:ascii="Arial" w:hAnsi="Arial" w:cs="Arial"/>
          <w:sz w:val="23"/>
          <w:szCs w:val="23"/>
        </w:rPr>
        <w:t xml:space="preserve">Sala do Fundo de Previdência Social do Município, prédio do Centro Administrativo da Prefeitura Municipal, situada na Rua Angelo Fucilini Sobrinho, 496, Centro, na cidade de São Valério do Sul/Rio Grande do Sul, </w:t>
      </w:r>
      <w:r w:rsidRPr="00825D37">
        <w:rPr>
          <w:rFonts w:ascii="Arial" w:hAnsi="Arial" w:cs="Arial"/>
          <w:sz w:val="23"/>
          <w:szCs w:val="23"/>
        </w:rPr>
        <w:t xml:space="preserve">os membros do </w:t>
      </w:r>
      <w:r w:rsidR="00955E34" w:rsidRPr="00825D37">
        <w:rPr>
          <w:rFonts w:ascii="Arial" w:hAnsi="Arial" w:cs="Arial"/>
          <w:sz w:val="23"/>
          <w:szCs w:val="23"/>
        </w:rPr>
        <w:t xml:space="preserve">CONSELHO </w:t>
      </w:r>
      <w:r w:rsidR="00903322" w:rsidRPr="00825D37">
        <w:rPr>
          <w:rFonts w:ascii="Arial" w:hAnsi="Arial" w:cs="Arial"/>
          <w:sz w:val="23"/>
          <w:szCs w:val="23"/>
        </w:rPr>
        <w:t>DELIBERATIVO</w:t>
      </w:r>
      <w:r w:rsidR="00955E34" w:rsidRPr="00825D37">
        <w:rPr>
          <w:rFonts w:ascii="Arial" w:hAnsi="Arial" w:cs="Arial"/>
          <w:sz w:val="23"/>
          <w:szCs w:val="23"/>
        </w:rPr>
        <w:t xml:space="preserve"> com a presença dos membros do comitê</w:t>
      </w:r>
      <w:r w:rsidRPr="00825D37">
        <w:rPr>
          <w:rFonts w:ascii="Arial" w:hAnsi="Arial" w:cs="Arial"/>
          <w:sz w:val="23"/>
          <w:szCs w:val="23"/>
        </w:rPr>
        <w:t xml:space="preserve">, nos termos das legislações em vigor, para analisar e </w:t>
      </w:r>
      <w:r w:rsidR="00955E34" w:rsidRPr="00825D37">
        <w:rPr>
          <w:rFonts w:ascii="Arial" w:hAnsi="Arial" w:cs="Arial"/>
          <w:sz w:val="23"/>
          <w:szCs w:val="23"/>
        </w:rPr>
        <w:t>APROVAR</w:t>
      </w:r>
      <w:r w:rsidRPr="00825D37">
        <w:rPr>
          <w:rFonts w:ascii="Arial" w:hAnsi="Arial" w:cs="Arial"/>
          <w:sz w:val="23"/>
          <w:szCs w:val="23"/>
        </w:rPr>
        <w:t xml:space="preserve"> </w:t>
      </w:r>
      <w:r w:rsidR="00955E34" w:rsidRPr="00825D37">
        <w:rPr>
          <w:rFonts w:ascii="Arial" w:hAnsi="Arial" w:cs="Arial"/>
          <w:sz w:val="23"/>
          <w:szCs w:val="23"/>
        </w:rPr>
        <w:t>o esboço</w:t>
      </w:r>
      <w:r w:rsidRPr="00825D37">
        <w:rPr>
          <w:rFonts w:ascii="Arial" w:hAnsi="Arial" w:cs="Arial"/>
          <w:sz w:val="23"/>
          <w:szCs w:val="23"/>
        </w:rPr>
        <w:t xml:space="preserve"> da Política Anual de Investimentos para o exercício de 2026.</w:t>
      </w:r>
      <w:r w:rsidR="001F3E56" w:rsidRPr="00825D37">
        <w:rPr>
          <w:rFonts w:ascii="Arial" w:hAnsi="Arial" w:cs="Arial"/>
          <w:sz w:val="23"/>
          <w:szCs w:val="23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>A Política de Investi</w:t>
      </w:r>
      <w:bookmarkStart w:id="0" w:name="_GoBack"/>
      <w:bookmarkEnd w:id="0"/>
      <w:r w:rsidRPr="00825D37">
        <w:rPr>
          <w:rFonts w:ascii="Arial" w:hAnsi="Arial" w:cs="Arial"/>
          <w:sz w:val="23"/>
          <w:szCs w:val="23"/>
        </w:rPr>
        <w:t>mentos foi elaborada em parceria com a consultoria Referência, e a meta da PI será de (</w:t>
      </w:r>
      <w:r w:rsidR="00212789" w:rsidRPr="00825D37">
        <w:rPr>
          <w:rFonts w:ascii="Arial" w:hAnsi="Arial" w:cs="Arial"/>
          <w:sz w:val="23"/>
          <w:szCs w:val="23"/>
        </w:rPr>
        <w:t>IPCA</w:t>
      </w:r>
      <w:r w:rsidRPr="00825D37">
        <w:rPr>
          <w:rFonts w:ascii="Arial" w:hAnsi="Arial" w:cs="Arial"/>
          <w:sz w:val="23"/>
          <w:szCs w:val="23"/>
        </w:rPr>
        <w:t xml:space="preserve"> + 5,</w:t>
      </w:r>
      <w:r w:rsidR="00D761E5" w:rsidRPr="00825D37">
        <w:rPr>
          <w:rFonts w:ascii="Arial" w:hAnsi="Arial" w:cs="Arial"/>
          <w:sz w:val="23"/>
          <w:szCs w:val="23"/>
        </w:rPr>
        <w:t>67</w:t>
      </w:r>
      <w:r w:rsidRPr="00825D37">
        <w:rPr>
          <w:rFonts w:ascii="Arial" w:hAnsi="Arial" w:cs="Arial"/>
          <w:sz w:val="23"/>
          <w:szCs w:val="23"/>
        </w:rPr>
        <w:t>% a.a</w:t>
      </w:r>
      <w:r w:rsidR="00212789" w:rsidRPr="00825D37">
        <w:rPr>
          <w:rFonts w:ascii="Arial" w:hAnsi="Arial" w:cs="Arial"/>
          <w:sz w:val="23"/>
          <w:szCs w:val="23"/>
        </w:rPr>
        <w:t>)</w:t>
      </w:r>
      <w:r w:rsidR="00955E34" w:rsidRPr="00825D37">
        <w:rPr>
          <w:rFonts w:ascii="Arial" w:hAnsi="Arial" w:cs="Arial"/>
          <w:sz w:val="23"/>
          <w:szCs w:val="23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>segu</w:t>
      </w:r>
      <w:r w:rsidR="00212789" w:rsidRPr="00825D37">
        <w:rPr>
          <w:rFonts w:ascii="Arial" w:hAnsi="Arial" w:cs="Arial"/>
          <w:sz w:val="23"/>
          <w:szCs w:val="23"/>
        </w:rPr>
        <w:t>indo</w:t>
      </w:r>
      <w:r w:rsidRPr="00825D37">
        <w:rPr>
          <w:rFonts w:ascii="Arial" w:hAnsi="Arial" w:cs="Arial"/>
          <w:sz w:val="23"/>
          <w:szCs w:val="23"/>
        </w:rPr>
        <w:t xml:space="preserve"> as premissas da taxa-parâmetro fixadas na Portaria MPS nº 2.010/2025, sendo que a estratégia-alvo ficou fixada em 100%.</w:t>
      </w:r>
      <w:r w:rsidR="001F3E56" w:rsidRPr="00825D37">
        <w:rPr>
          <w:rFonts w:ascii="Arial" w:hAnsi="Arial" w:cs="Arial"/>
          <w:sz w:val="23"/>
          <w:szCs w:val="23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>Observou-se que o presente documento foi elaborado conforme determina a Resolução CMN 4.963/2021 e a Portaria 1.467/2022.</w:t>
      </w:r>
      <w:r w:rsidR="001F3E56" w:rsidRPr="00825D37">
        <w:rPr>
          <w:rFonts w:ascii="Arial" w:hAnsi="Arial" w:cs="Arial"/>
          <w:sz w:val="23"/>
          <w:szCs w:val="23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>A política monetária a ser conduzida pelo Banco Central do Brasil precisará, mais uma vez, encontrar adequado equilíbrio entre o controle da inflação e o incentivo ao crescimento econômico, com as projeções mais recentes para o IPCA e a Selic — ambas em recuo em relação a 2025 — já servindo como importante sinalizador de otimismo para o mercado em 2026.</w:t>
      </w:r>
      <w:r w:rsidR="001F3E56" w:rsidRPr="00825D37">
        <w:rPr>
          <w:rFonts w:ascii="Arial" w:hAnsi="Arial" w:cs="Arial"/>
          <w:sz w:val="23"/>
          <w:szCs w:val="23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>Com o espaço fiscal cada vez mais restrito, a tendência de que medidas governamentais consigam mitigar os efeitos de uma política monetária contracionista torna-se menos provável, sendo importante frisar que as previsões de PIB para o próximo ano indicam nova desaceleração econômica. Ainda sob o aspecto fiscal, conclui-se que o governo mantém dificuldades em transmitir ao mercado de que forma será alcançado o prometido equilíbrio das contas públicas, o que eleva as incertezas quanto à real viabilidade do superávit primário no próximo exercício.</w:t>
      </w:r>
      <w:r w:rsidR="00424EC4" w:rsidRPr="00825D37">
        <w:rPr>
          <w:rFonts w:ascii="Arial" w:hAnsi="Arial" w:cs="Arial"/>
          <w:sz w:val="23"/>
          <w:szCs w:val="23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>Diante desse cenário, a preferência permanece por títulos de prazos mais curtos, ao menos no primeiro semestre de 2026, período em que a rigidez da política monetária tende a se manter. Contudo, uma vez que a inflação se mostre efetivamente controlada, acompanhada da esperada redução da Selic e de um cenário externo menos volátil — em especial após estabilização das relações comerciais —, as opções de prazo mais longo poderão novamente se tornar atrativas, repetindo o desempenho observado em boa parte de 2025.</w:t>
      </w:r>
      <w:r w:rsidR="00D07F5E" w:rsidRPr="00825D37">
        <w:rPr>
          <w:rFonts w:ascii="Arial" w:hAnsi="Arial" w:cs="Arial"/>
          <w:sz w:val="23"/>
          <w:szCs w:val="23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>Em outras palavras: o primeiro semestre de 2026 poderá servir como um importante termômetro quanto aos rumos da inflação no Brasil, o que, em última instância, exercerá papel fundamental na condução da política monetária, especialmente na definição da Selic.</w:t>
      </w:r>
      <w:r w:rsidR="00D07F5E" w:rsidRPr="00825D37">
        <w:rPr>
          <w:rFonts w:ascii="Arial" w:hAnsi="Arial" w:cs="Arial"/>
          <w:sz w:val="23"/>
          <w:szCs w:val="23"/>
        </w:rPr>
        <w:t xml:space="preserve"> </w:t>
      </w:r>
      <w:r w:rsidR="00955E34" w:rsidRPr="00825D37">
        <w:rPr>
          <w:rFonts w:ascii="Arial" w:hAnsi="Arial" w:cs="Arial"/>
          <w:sz w:val="23"/>
          <w:szCs w:val="23"/>
          <w:lang w:val="en-US"/>
        </w:rPr>
        <w:t>Todo esse contexto exige prudência na escolha das melhores opções, recomendando-se diversificação apropriada — e obrigatória — do portfólio, cujas revisões periódicas deverão observar a evolução das variáveis macroeconômicas aqui destacadas. Nesse sentido, ganha cada vez mais relevância a atuação de assessoramento técnico e de profissionais especializados junto à gestão pública.</w:t>
      </w:r>
      <w:r w:rsidR="00D07F5E" w:rsidRPr="00825D37">
        <w:rPr>
          <w:rFonts w:ascii="Arial" w:hAnsi="Arial" w:cs="Arial"/>
          <w:sz w:val="23"/>
          <w:szCs w:val="23"/>
          <w:lang w:val="en-US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>Considerando o histórico de posicionamento em investimentos do RPPS e ponderando o posicionamento de seus gestores, ressalta-se que o RPPS possui o perfil de investidor conservado</w:t>
      </w:r>
      <w:r w:rsidR="00D73F28" w:rsidRPr="00825D37">
        <w:rPr>
          <w:rFonts w:ascii="Arial" w:hAnsi="Arial" w:cs="Arial"/>
          <w:sz w:val="23"/>
          <w:szCs w:val="23"/>
        </w:rPr>
        <w:t xml:space="preserve">r </w:t>
      </w:r>
      <w:r w:rsidR="00D07F5E" w:rsidRPr="00825D37">
        <w:rPr>
          <w:rFonts w:ascii="Arial" w:hAnsi="Arial" w:cs="Arial"/>
          <w:sz w:val="23"/>
          <w:szCs w:val="23"/>
        </w:rPr>
        <w:t>com viés de moderado</w:t>
      </w:r>
      <w:r w:rsidR="00D73F28" w:rsidRPr="00825D37">
        <w:rPr>
          <w:rFonts w:ascii="Arial" w:hAnsi="Arial" w:cs="Arial"/>
          <w:sz w:val="23"/>
          <w:szCs w:val="23"/>
        </w:rPr>
        <w:t>.</w:t>
      </w:r>
      <w:r w:rsidR="00D07F5E" w:rsidRPr="00825D37">
        <w:rPr>
          <w:rFonts w:ascii="Arial" w:hAnsi="Arial" w:cs="Arial"/>
          <w:sz w:val="23"/>
          <w:szCs w:val="23"/>
        </w:rPr>
        <w:t xml:space="preserve"> </w:t>
      </w:r>
      <w:r w:rsidRPr="00825D37">
        <w:rPr>
          <w:rFonts w:ascii="Arial" w:hAnsi="Arial" w:cs="Arial"/>
          <w:sz w:val="23"/>
          <w:szCs w:val="23"/>
        </w:rPr>
        <w:t xml:space="preserve">Após a apresentação e os esclarecimentos relativos à presente Política de Investimentos, os membros deliberaram, por unanimidade, </w:t>
      </w:r>
      <w:r w:rsidR="00955E34" w:rsidRPr="00825D37">
        <w:rPr>
          <w:rFonts w:ascii="Arial" w:hAnsi="Arial" w:cs="Arial"/>
          <w:b/>
          <w:bCs/>
          <w:sz w:val="23"/>
          <w:szCs w:val="23"/>
        </w:rPr>
        <w:t>APROVAR</w:t>
      </w:r>
      <w:r w:rsidRPr="00825D37">
        <w:rPr>
          <w:rFonts w:ascii="Arial" w:hAnsi="Arial" w:cs="Arial"/>
          <w:sz w:val="23"/>
          <w:szCs w:val="23"/>
        </w:rPr>
        <w:t xml:space="preserve"> a Política Anual de Investimentos para o exercício de 2026, determinando que o RPPS continue observando a lista exaustiva do MPS para fins de credenciamento das instituições financeiras. Em anexo, segue o Quadro Resumo da Política de Investimentos – Resolução CNM nº 4.963/2021. </w:t>
      </w:r>
    </w:p>
    <w:p w14:paraId="25866F13" w14:textId="4EF6A809" w:rsidR="00D07F5E" w:rsidRPr="00825D37" w:rsidRDefault="00D07F5E" w:rsidP="00916DBE">
      <w:pPr>
        <w:pStyle w:val="CorpoA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825D37">
        <w:rPr>
          <w:noProof/>
          <w:sz w:val="23"/>
          <w:szCs w:val="23"/>
        </w:rPr>
        <w:lastRenderedPageBreak/>
        <w:drawing>
          <wp:inline distT="0" distB="0" distL="0" distR="0" wp14:anchorId="6799315E" wp14:editId="0F0B5689">
            <wp:extent cx="5684520" cy="417576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4520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28041" w14:textId="428F12C9" w:rsidR="00563336" w:rsidRPr="00825D37" w:rsidRDefault="00D07F5E" w:rsidP="00825D37">
      <w:pPr>
        <w:pStyle w:val="CorpoA"/>
        <w:widowControl w:val="0"/>
        <w:spacing w:after="0" w:line="240" w:lineRule="auto"/>
        <w:jc w:val="both"/>
        <w:rPr>
          <w:rFonts w:ascii="Arial" w:eastAsia="Arial" w:hAnsi="Arial" w:cs="Arial"/>
          <w:sz w:val="23"/>
          <w:szCs w:val="23"/>
        </w:rPr>
      </w:pPr>
      <w:r w:rsidRPr="00825D37">
        <w:rPr>
          <w:rFonts w:ascii="Arial" w:hAnsi="Arial" w:cs="Arial"/>
          <w:sz w:val="23"/>
          <w:szCs w:val="23"/>
        </w:rPr>
        <w:t>N</w:t>
      </w:r>
      <w:r w:rsidRPr="00825D37">
        <w:rPr>
          <w:rFonts w:ascii="Arial" w:hAnsi="Arial" w:cs="Arial"/>
          <w:sz w:val="23"/>
          <w:szCs w:val="23"/>
          <w:lang w:val="pt-PT"/>
        </w:rPr>
        <w:t xml:space="preserve">ão havendo mais nada a deliberar </w:t>
      </w:r>
      <w:r w:rsidRPr="00825D37">
        <w:rPr>
          <w:rFonts w:ascii="Arial" w:hAnsi="Arial" w:cs="Arial"/>
          <w:sz w:val="23"/>
          <w:szCs w:val="23"/>
        </w:rPr>
        <w:t>a Presidente declarou a reunião encerrada cuja ata foi por mim lavrada e assinada, seguida da assinatura dos demais Conselheiros e presentes. São Valério do Sul/RS, em 19 de novembro de 2025.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F742FF" w14:textId="77777777" w:rsidR="001E4A43" w:rsidRPr="00825D37" w:rsidRDefault="001E4A43" w:rsidP="00916DBE">
      <w:pPr>
        <w:pStyle w:val="CorpoA"/>
        <w:pBdr>
          <w:top w:val="none" w:sz="0" w:space="0" w:color="auto"/>
        </w:pBdr>
        <w:spacing w:after="0" w:line="240" w:lineRule="auto"/>
        <w:jc w:val="both"/>
        <w:rPr>
          <w:rFonts w:ascii="Arial" w:hAnsi="Arial" w:cs="Arial"/>
          <w:sz w:val="23"/>
          <w:szCs w:val="23"/>
          <w:lang w:val="en-US"/>
        </w:rPr>
      </w:pPr>
    </w:p>
    <w:p w14:paraId="21807EA5" w14:textId="77777777" w:rsidR="001E4A43" w:rsidRPr="00825D37" w:rsidRDefault="001E4A43" w:rsidP="00916DBE">
      <w:pPr>
        <w:pStyle w:val="CorpoA"/>
        <w:pBdr>
          <w:top w:val="none" w:sz="0" w:space="0" w:color="auto"/>
        </w:pBdr>
        <w:spacing w:after="0" w:line="240" w:lineRule="auto"/>
        <w:jc w:val="both"/>
        <w:rPr>
          <w:rFonts w:ascii="Arial" w:hAnsi="Arial" w:cs="Arial"/>
          <w:sz w:val="23"/>
          <w:szCs w:val="23"/>
          <w:lang w:val="en-US"/>
        </w:rPr>
      </w:pPr>
    </w:p>
    <w:p w14:paraId="33C3966C" w14:textId="77777777" w:rsidR="001E4A43" w:rsidRPr="00825D37" w:rsidRDefault="001E4A43" w:rsidP="00916DBE">
      <w:pPr>
        <w:pStyle w:val="CorpoA"/>
        <w:pBdr>
          <w:top w:val="none" w:sz="0" w:space="0" w:color="auto"/>
        </w:pBdr>
        <w:spacing w:after="0" w:line="240" w:lineRule="auto"/>
        <w:jc w:val="both"/>
        <w:rPr>
          <w:rFonts w:ascii="Arial" w:hAnsi="Arial" w:cs="Arial"/>
          <w:sz w:val="23"/>
          <w:szCs w:val="23"/>
          <w:lang w:val="en-US"/>
        </w:rPr>
      </w:pPr>
    </w:p>
    <w:p w14:paraId="23775F2A" w14:textId="4466FB3C" w:rsidR="001E4A43" w:rsidRPr="00825D37" w:rsidRDefault="001E4A43" w:rsidP="00916DBE">
      <w:pPr>
        <w:pStyle w:val="CorpoA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sectPr w:rsidR="001E4A43" w:rsidRPr="00825D37">
      <w:pgSz w:w="11900" w:h="16840"/>
      <w:pgMar w:top="1418" w:right="1247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826C1" w14:textId="77777777" w:rsidR="00763E2B" w:rsidRDefault="00763E2B">
      <w:r>
        <w:separator/>
      </w:r>
    </w:p>
  </w:endnote>
  <w:endnote w:type="continuationSeparator" w:id="0">
    <w:p w14:paraId="5D889A96" w14:textId="77777777" w:rsidR="00763E2B" w:rsidRDefault="0076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F8399" w14:textId="77777777" w:rsidR="00763E2B" w:rsidRDefault="00763E2B">
      <w:r>
        <w:separator/>
      </w:r>
    </w:p>
  </w:footnote>
  <w:footnote w:type="continuationSeparator" w:id="0">
    <w:p w14:paraId="38F644F8" w14:textId="77777777" w:rsidR="00763E2B" w:rsidRDefault="00763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336"/>
    <w:rsid w:val="00013805"/>
    <w:rsid w:val="000551DA"/>
    <w:rsid w:val="00057906"/>
    <w:rsid w:val="00090CC8"/>
    <w:rsid w:val="000C3CD8"/>
    <w:rsid w:val="00121FDB"/>
    <w:rsid w:val="001B7EFE"/>
    <w:rsid w:val="001E4A43"/>
    <w:rsid w:val="001F3E56"/>
    <w:rsid w:val="00212789"/>
    <w:rsid w:val="00246378"/>
    <w:rsid w:val="002874BC"/>
    <w:rsid w:val="002E1BCB"/>
    <w:rsid w:val="003256E5"/>
    <w:rsid w:val="00424EC4"/>
    <w:rsid w:val="00434C52"/>
    <w:rsid w:val="00466006"/>
    <w:rsid w:val="004C75DB"/>
    <w:rsid w:val="0056260D"/>
    <w:rsid w:val="00563336"/>
    <w:rsid w:val="00583204"/>
    <w:rsid w:val="005D2913"/>
    <w:rsid w:val="005E146F"/>
    <w:rsid w:val="00641AE5"/>
    <w:rsid w:val="006744B1"/>
    <w:rsid w:val="007168A4"/>
    <w:rsid w:val="00763E2B"/>
    <w:rsid w:val="00774256"/>
    <w:rsid w:val="0079602B"/>
    <w:rsid w:val="007B5343"/>
    <w:rsid w:val="007E35A3"/>
    <w:rsid w:val="00825D37"/>
    <w:rsid w:val="00871664"/>
    <w:rsid w:val="008926F0"/>
    <w:rsid w:val="008E6C9B"/>
    <w:rsid w:val="00903322"/>
    <w:rsid w:val="00916DBE"/>
    <w:rsid w:val="00955E34"/>
    <w:rsid w:val="00995057"/>
    <w:rsid w:val="009B1AFB"/>
    <w:rsid w:val="009C36E1"/>
    <w:rsid w:val="00A16421"/>
    <w:rsid w:val="00A31797"/>
    <w:rsid w:val="00A54512"/>
    <w:rsid w:val="00A6708D"/>
    <w:rsid w:val="00AE6DEB"/>
    <w:rsid w:val="00AF58BB"/>
    <w:rsid w:val="00B13776"/>
    <w:rsid w:val="00BA3122"/>
    <w:rsid w:val="00D07F5E"/>
    <w:rsid w:val="00D119ED"/>
    <w:rsid w:val="00D20C9F"/>
    <w:rsid w:val="00D73F28"/>
    <w:rsid w:val="00D761E5"/>
    <w:rsid w:val="00D76DDC"/>
    <w:rsid w:val="00D943A1"/>
    <w:rsid w:val="00D964B0"/>
    <w:rsid w:val="00DD1119"/>
    <w:rsid w:val="00DE2023"/>
    <w:rsid w:val="00E21821"/>
    <w:rsid w:val="00E63F4C"/>
    <w:rsid w:val="00E66558"/>
    <w:rsid w:val="00E67629"/>
    <w:rsid w:val="00E9344F"/>
    <w:rsid w:val="00F14CA4"/>
    <w:rsid w:val="00F53C84"/>
    <w:rsid w:val="00FB69D4"/>
    <w:rsid w:val="00FD2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CE299"/>
  <w15:docId w15:val="{6FA87E1B-BC53-4A7A-B427-559E57F7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Forte">
    <w:name w:val="Strong"/>
    <w:basedOn w:val="Fontepargpadro"/>
    <w:uiPriority w:val="22"/>
    <w:qFormat/>
    <w:rsid w:val="001E4A43"/>
    <w:rPr>
      <w:b/>
      <w:bCs/>
    </w:rPr>
  </w:style>
  <w:style w:type="paragraph" w:styleId="Recuodecorpodetexto2">
    <w:name w:val="Body Text Indent 2"/>
    <w:basedOn w:val="Normal"/>
    <w:link w:val="Recuodecorpodetexto2Char"/>
    <w:rsid w:val="00916D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1620"/>
      <w:jc w:val="both"/>
    </w:pPr>
    <w:rPr>
      <w:rFonts w:eastAsia="Times New Roman"/>
      <w:bdr w:val="none" w:sz="0" w:space="0" w:color="auto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916DBE"/>
    <w:rPr>
      <w:rFonts w:eastAsia="Times New Roman"/>
      <w:sz w:val="24"/>
      <w:szCs w:val="24"/>
      <w:bdr w:val="none" w:sz="0" w:space="0" w:color="auto"/>
    </w:rPr>
  </w:style>
  <w:style w:type="paragraph" w:styleId="Cabealho">
    <w:name w:val="header"/>
    <w:basedOn w:val="Normal"/>
    <w:link w:val="CabealhoChar"/>
    <w:uiPriority w:val="99"/>
    <w:unhideWhenUsed/>
    <w:rsid w:val="00916D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16DBE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916D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16DBE"/>
    <w:rPr>
      <w:sz w:val="24"/>
      <w:szCs w:val="24"/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5D3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5D37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639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2025-11-24T11:26:00Z</cp:lastPrinted>
  <dcterms:created xsi:type="dcterms:W3CDTF">2025-11-24T11:08:00Z</dcterms:created>
  <dcterms:modified xsi:type="dcterms:W3CDTF">2025-11-24T11:26:00Z</dcterms:modified>
</cp:coreProperties>
</file>