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C37C" w14:textId="2E6A16D7" w:rsidR="003763E8" w:rsidRPr="006D56D6" w:rsidRDefault="00C27B9A" w:rsidP="0045289C">
      <w:pPr>
        <w:spacing w:after="0" w:line="240" w:lineRule="auto"/>
        <w:ind w:left="-284"/>
        <w:jc w:val="center"/>
        <w:rPr>
          <w:rFonts w:ascii="Arial" w:hAnsi="Arial" w:cs="Arial"/>
          <w:sz w:val="20"/>
          <w:szCs w:val="20"/>
        </w:rPr>
      </w:pPr>
      <w:r w:rsidRPr="006D56D6">
        <w:rPr>
          <w:rFonts w:ascii="Arial" w:hAnsi="Arial" w:cs="Arial"/>
          <w:sz w:val="20"/>
          <w:szCs w:val="20"/>
        </w:rPr>
        <w:t xml:space="preserve">Ata n.º </w:t>
      </w:r>
      <w:r w:rsidR="009224DE" w:rsidRPr="006D56D6">
        <w:rPr>
          <w:rFonts w:ascii="Arial" w:hAnsi="Arial" w:cs="Arial"/>
          <w:sz w:val="20"/>
          <w:szCs w:val="20"/>
        </w:rPr>
        <w:t>10</w:t>
      </w:r>
      <w:r w:rsidRPr="006D56D6">
        <w:rPr>
          <w:rFonts w:ascii="Arial" w:hAnsi="Arial" w:cs="Arial"/>
          <w:sz w:val="20"/>
          <w:szCs w:val="20"/>
        </w:rPr>
        <w:t>/20</w:t>
      </w:r>
      <w:r w:rsidR="009363C9" w:rsidRPr="006D56D6">
        <w:rPr>
          <w:rFonts w:ascii="Arial" w:hAnsi="Arial" w:cs="Arial"/>
          <w:sz w:val="20"/>
          <w:szCs w:val="20"/>
        </w:rPr>
        <w:t>2</w:t>
      </w:r>
      <w:r w:rsidR="0001154B" w:rsidRPr="006D56D6">
        <w:rPr>
          <w:rFonts w:ascii="Arial" w:hAnsi="Arial" w:cs="Arial"/>
          <w:sz w:val="20"/>
          <w:szCs w:val="20"/>
        </w:rPr>
        <w:t>6</w:t>
      </w:r>
    </w:p>
    <w:p w14:paraId="01DF3CC9" w14:textId="5F722B10" w:rsidR="006D56D6" w:rsidRPr="006D56D6" w:rsidRDefault="006D56D6" w:rsidP="006D56D6">
      <w:pPr>
        <w:jc w:val="both"/>
        <w:rPr>
          <w:rFonts w:ascii="Arial" w:hAnsi="Arial" w:cs="Arial"/>
          <w:sz w:val="20"/>
          <w:szCs w:val="20"/>
        </w:rPr>
      </w:pPr>
      <w:r w:rsidRPr="006D56D6">
        <w:rPr>
          <w:rFonts w:ascii="Arial" w:hAnsi="Arial" w:cs="Arial"/>
          <w:sz w:val="20"/>
          <w:szCs w:val="20"/>
        </w:rPr>
        <w:t xml:space="preserve">Aos dezesseis dias do mês de setembro do ano de dois mil e vinte e seis, às 13h30min, tendo por local a Sala do Fundo de Previdência Social do Município, situada no prédio do Centro Administrativo da Prefeitura Municipal, na Rua </w:t>
      </w:r>
      <w:proofErr w:type="spellStart"/>
      <w:r w:rsidRPr="006D56D6">
        <w:rPr>
          <w:rFonts w:ascii="Arial" w:hAnsi="Arial" w:cs="Arial"/>
          <w:sz w:val="20"/>
          <w:szCs w:val="20"/>
        </w:rPr>
        <w:t>Angelo</w:t>
      </w:r>
      <w:proofErr w:type="spellEnd"/>
      <w:r w:rsidRPr="006D56D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56D6">
        <w:rPr>
          <w:rFonts w:ascii="Arial" w:hAnsi="Arial" w:cs="Arial"/>
          <w:sz w:val="20"/>
          <w:szCs w:val="20"/>
        </w:rPr>
        <w:t>Fucilini</w:t>
      </w:r>
      <w:proofErr w:type="spellEnd"/>
      <w:r w:rsidRPr="006D56D6">
        <w:rPr>
          <w:rFonts w:ascii="Arial" w:hAnsi="Arial" w:cs="Arial"/>
          <w:sz w:val="20"/>
          <w:szCs w:val="20"/>
        </w:rPr>
        <w:t xml:space="preserve"> Sobrinho, nº 496, Centro, na cidade de São Valério do Sul/RS, reuniram-se ordinariamente os membros do Conselho Deliberativo, nomeados pela Portaria nº 22.709, de 13 de dezembro de 2023, para tratar da seguinte pauta: apreciação dos relatórios de receita, despesa, carteira de investimentos e Autorizações de Aplicação e Resgate – </w:t>
      </w:r>
      <w:proofErr w:type="spellStart"/>
      <w:r w:rsidRPr="006D56D6">
        <w:rPr>
          <w:rFonts w:ascii="Arial" w:hAnsi="Arial" w:cs="Arial"/>
          <w:sz w:val="20"/>
          <w:szCs w:val="20"/>
        </w:rPr>
        <w:t>APRs</w:t>
      </w:r>
      <w:proofErr w:type="spellEnd"/>
      <w:r w:rsidRPr="006D56D6">
        <w:rPr>
          <w:rFonts w:ascii="Arial" w:hAnsi="Arial" w:cs="Arial"/>
          <w:sz w:val="20"/>
          <w:szCs w:val="20"/>
        </w:rPr>
        <w:t xml:space="preserve"> referentes ao mês de agosto de 2026, bem como assuntos gerais.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 xml:space="preserve">Registra-se a presença dos membros titulares </w:t>
      </w:r>
      <w:proofErr w:type="spellStart"/>
      <w:r w:rsidRPr="006D56D6">
        <w:rPr>
          <w:rFonts w:ascii="Arial" w:hAnsi="Arial" w:cs="Arial"/>
          <w:sz w:val="20"/>
          <w:szCs w:val="20"/>
        </w:rPr>
        <w:t>Andrelandia</w:t>
      </w:r>
      <w:proofErr w:type="spellEnd"/>
      <w:r w:rsidRPr="006D56D6">
        <w:rPr>
          <w:rFonts w:ascii="Arial" w:hAnsi="Arial" w:cs="Arial"/>
          <w:sz w:val="20"/>
          <w:szCs w:val="20"/>
        </w:rPr>
        <w:t xml:space="preserve"> Soares da Silva, Deise Fernanda Costella, Guilherme Mateus Ribeiro e Larissa Fatima Dal Piaz Danelli </w:t>
      </w:r>
      <w:proofErr w:type="spellStart"/>
      <w:r w:rsidRPr="006D56D6">
        <w:rPr>
          <w:rFonts w:ascii="Arial" w:hAnsi="Arial" w:cs="Arial"/>
          <w:sz w:val="20"/>
          <w:szCs w:val="20"/>
        </w:rPr>
        <w:t>Backes</w:t>
      </w:r>
      <w:proofErr w:type="spellEnd"/>
      <w:r w:rsidRPr="006D56D6">
        <w:rPr>
          <w:rFonts w:ascii="Arial" w:hAnsi="Arial" w:cs="Arial"/>
          <w:sz w:val="20"/>
          <w:szCs w:val="20"/>
        </w:rPr>
        <w:t>. Participou também da reunião a servidora com dedicação exclusiva da Unidade Gestora do RPPS, Kelly Blass. Nos termos regimentais, a Presidente do Conselho Deliberativo, Deise Fernanda Costella, coordenou os trabalhos, deu as boas-vindas aos presentes e declarou aberta a reunião. Na sequência, procedeu-se à leitura da Ata nº 009/2026, a qual, após apreciação, foi colocada em votação e aprovada por unanimidade.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Em seguida, o Gestor de Investimentos, Sr. Jandir, passou a apresentar os relatórios referentes aos resultados de receitas e despesas do Fundo de Previdência Social do Município – FPSM, relativos à competência de agosto de 2026. Conforme demonstrado, a receita do mês totalizou R$ 639.188,88, proveniente de contribuições dos servidores ativos, cota patronal, aportes, receitas de investimentos e compensação previdenciária, entre outras receitas. As despesas realizadas totalizaram R$ 160.460,89, compreendendo despesas com o pagamento de benefícios previdenciários, pensionistas e compensação previdenciária, resultando em um superávit financeiro de R$ 478.727,99 no período.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Foi destacado, entretanto, que, considerando exclusivamente as receitas provenientes das contribuições dos servidores e da cota patronal, o montante arrecadado no mês de agosto foi de R$ 140.897,70, enquanto as despesas com aposentadorias, pensões e despesas administrativas totalizaram R$ 150.247,28, resultando em déficit de R$ 9.349,58 no mês. Foi esclarecido que, caso o resultado previdenciário acumulado permaneça deficitário, a diferença deverá ser suportada pelo Município, sendo informado que, até o período analisado, o déficit acumulado do exercício correspondia a R$ 5.669,63.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As despesas custeadas com recursos da taxa de administração totalizaram R$ 6.351,70, destinadas ao pagamento de despesas necessárias à administração do Fundo. Foi informado, ainda, que os juros gerados no mês totalizaram R$ 327,09, tendo sido realizado repasse no valor de R$ 10.064,13.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Na sequência, foi apresentada a carteira de investimentos do RPPS, contemplando a evolução patrimonial, a composição da carteira, o demonstrativo das aplicações e dos investimentos por fundo e instituição financeira, a distribuição dos recursos segundo os principais benchmarks e os respectivos gráficos de alocação por fundo e por grau de risco. Conforme apresentado, o patrimônio total mantido na carteira ao final do período analisado totalizava R$ 33.837.085,25. Foi registrado, ainda, que o valor da carteira referente ao mês de julho de 2026 havia sido retificado, passando a corresponder a R$ 33.181.907,74.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Quanto à rentabilidade, foi informado que a meta acumulada para o período, até agosto de 2026, correspondia a 6,97%, enquanto a rentabilidade acumulada alcançada pela carteira foi de 8,9254%, equivalente, em valores financeiros, a R$ 2.750.590,73, representando 128,10% da meta estabelecida para o período. No mês de agosto, a meta de rentabilidade foi de 0,14%, enquanto a carteira apresentou rentabilidade de 1,25%, representando recuperação em relação aos resultados negativos observados em períodos anteriores.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 xml:space="preserve">Foi ressaltado que os recursos </w:t>
      </w:r>
      <w:proofErr w:type="gramStart"/>
      <w:r w:rsidRPr="006D56D6">
        <w:rPr>
          <w:rFonts w:ascii="Arial" w:hAnsi="Arial" w:cs="Arial"/>
          <w:sz w:val="20"/>
          <w:szCs w:val="20"/>
        </w:rPr>
        <w:t>encontram-se</w:t>
      </w:r>
      <w:proofErr w:type="gramEnd"/>
      <w:r w:rsidRPr="006D56D6">
        <w:rPr>
          <w:rFonts w:ascii="Arial" w:hAnsi="Arial" w:cs="Arial"/>
          <w:sz w:val="20"/>
          <w:szCs w:val="20"/>
        </w:rPr>
        <w:t xml:space="preserve"> distribuídos entre diferentes ativos e estratégias de investimento, buscando diversificação e redução da exposição aos riscos de mercado. Quanto ao enquadramento, foi informado que as aplicações atendiam aos limites estabelecidos na regulamentação aplicável e à Política de Investimentos de 2026, havendo, contudo, aspectos relacionados aos requisitos do Pró-Gestão que ainda demandam adequações, uma vez que o RPPS ainda não possui a respectiva certificação.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 xml:space="preserve">Na sequência, foram apresentados os relatórios das aplicações e dos resgates realizados no período, correspondentes às </w:t>
      </w:r>
      <w:proofErr w:type="spellStart"/>
      <w:r w:rsidRPr="006D56D6">
        <w:rPr>
          <w:rFonts w:ascii="Arial" w:hAnsi="Arial" w:cs="Arial"/>
          <w:sz w:val="20"/>
          <w:szCs w:val="20"/>
        </w:rPr>
        <w:t>APRs</w:t>
      </w:r>
      <w:proofErr w:type="spellEnd"/>
      <w:r w:rsidRPr="006D56D6">
        <w:rPr>
          <w:rFonts w:ascii="Arial" w:hAnsi="Arial" w:cs="Arial"/>
          <w:sz w:val="20"/>
          <w:szCs w:val="20"/>
        </w:rPr>
        <w:t xml:space="preserve"> de nº 81 a 95. Os resgates totalizaram R$ 500.427,72, enquanto as aplicações realizadas no período totalizaram R$ 755.691,10.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Também foram apresentados os relatórios elaborados pela empresa Referência Gestão e Risco, incluindo os relatórios de enquadramento e rentabilidade, bem como os boletins econômicos. Na oportunidade, foram apreciados os demonstrativos das receitas e despesas previdenciárias referentes à competência de agosto de 2026, a evolução da carteira de investimentos e o relatório de rentabilidade em comparação com a meta do RPPS.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Na sequência, o Gestor de Investimentos, Sr. Jandir, realizou a apresentação e explanação do Relatório da Conjuntura Econômica e Financeira – 08/2026, elaborado pela Referência Gestão e Risco, abordando os principais indicadores dos cenários econômico e financeiro nacional e internacional e seus possíveis impactos sobre a carteira de investimentos do RPPS.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 xml:space="preserve">No cenário internacional, foi apresentado o comportamento do mercado de trabalho norte-americano, com </w:t>
      </w:r>
      <w:r w:rsidRPr="006D56D6">
        <w:rPr>
          <w:rFonts w:ascii="Arial" w:hAnsi="Arial" w:cs="Arial"/>
          <w:sz w:val="20"/>
          <w:szCs w:val="20"/>
        </w:rPr>
        <w:lastRenderedPageBreak/>
        <w:t>destaque para os dados de emprego e desemprego e seus reflexos sobre a condução da política monetária dos Estados Unidos. Foi ressaltada a importância desses indicadores para as expectativas relacionadas à trajetória dos juros norte-americanos.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Quanto à Zona do Euro, foi abordado o comportamento da inflação, que permanecia acima da meta estabelecida pelo Banco Central Europeu, mantendo a atenção do mercado quanto à condução da política monetária da região.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Em relação à China, foram apresentados indicadores relacionados à atividade econômica e industrial, destacando-se sinais de recuperação moderada, mas ainda com fragilidades relacionadas ao consumo doméstico e ao setor imobiliário, fatores que poderiam representar riscos à sustentação do crescimento econômico.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No cenário doméstico, foi apresentado o comportamento do Índice de Atividade Econômica do Banco Central – IBC-Br, referente a junho de 2026, que registrou retração de 0,6% em relação a maio, na série com ajuste sazonal. O resultado refletiu retrações de 1,4% na indústria e de 0,5% nos serviços, parcialmente compensadas pelo crescimento de 1,0% da agropecuária. O resultado foi interpretado como sinal de moderação da atividade econômica.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Em relação à inflação, foi informado que o IPCA registrou deflação de 0,32% em agosto de 2026, após alta de 0,07% em julho. A inflação acumulada em 12 meses recuou para 4,22%.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Quanto à Taxa Selic, foi registrado que, na reunião realizada nos dias 4 e 5 de agosto de 2026, o Comitê de Política Monetária – COPOM reduziu a taxa básica de juros de 14,25% para 14,00% ao ano.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Na data da presente reunião do Conselho, realizada em 16 de setembro de 2026, às 13h30min, estavam em andamento as reuniões do COPOM dos dias 15 e 16 de setembro. Assim, naquele momento, o mercado trabalhava com a expectativa de novo corte de 0,25 ponto percentual, para 13,75% ao ano, não havendo, ainda, decisão oficial divulgada pelo COPOM no momento da reunião do Conselho. Registra-se que a reunião do COPOM somente foi encerrada às 18h30min do dia 16 de setembro.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Quanto à balança comercial, foi apresentada a manutenção de resultado positivo no mês de agosto de 2026, contribuindo para a manutenção de saldo acumulado favorável no exercício.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Em relação ao fluxo cambial, foi apresentado o comportamento das entradas e saídas de recursos no mercado brasileiro, bem como a evolução da cotação do dólar comercial durante o mês de agosto, destacando-se a influência do cenário externo, das condições fiscais e políticas domésticas e da percepção de risco dos investidores.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No segmento de renda variável, foi apresentado o desempenho do Ibovespa durante o mês de agosto, bem como a influência dos fluxos de investidores estrangeiros e das incertezas relacionadas aos cenários político, fiscal e internacional sobre o comportamento do mercado acionário brasileiro.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Na sequência, foi apresentada a distribuição da carteira de investimentos por benchmark, demonstrando a alocação dos recursos de acordo com os respectivos indexadores de referência. Também foi apresentada a distribuição das aplicações por grau de risco, sendo 4,47% classificados como alto risco; 6,81% como médio risco; 0,20% como baixo/médio risco; e 88,51% como baixo risco. Foi esclarecido que a classificação demonstra a exposição percentual dos recursos aos diferentes níveis de risco de mercado.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Também foi apresentado comparativo entre os principais benchmarks da carteira, incluindo IMA-Geral, IMA-B, IRF-M 1 e Ibovespa, além da meta estabelecida na Política de Investimentos e da rentabilidade acumulada alcançada pelo RPPS.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Em seguida, foi demonstrada a distribuição dos recursos por instituição financeira e por segmento de aplicação, especialmente renda fixa e renda variável, permitindo aos presentes acompanhar a composição e a diversificação da carteira no período.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Quanto ao Relatório de Enquadramento, foi informado que, até agosto de 2026, as aplicações encontravam-se enquadradas quanto aos limites de concentração e à Política de Investimentos de 2026. Foi esclarecido, contudo, que a análise também contempla os requisitos relacionados à certificação Pró-Gestão, os quais deverão ser objeto de acompanhamento e adequação conforme as exigências aplicáveis.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Foi ainda esclarecido que a regulamentação atualmente aplicável às aplicações dos recursos dos RPPS é a Resolução CMN nº 5.272, de 18 de dezembro de 2025, que entrou em vigor em 2 de fevereiro de 2026 e revogou a Resolução CMN nº 4.963/2021. Dessa forma, os procedimentos de enquadramento da carteira deverão observar a regulamentação atualmente vigente.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No que se refere à análise da rentabilidade em relação à meta do RPPS, com data-base de agosto de 2026, foi informado que a rentabilidade financeira obtida no mês foi de R$ 416.316,67, enquanto a rentabilidade acumulada no exercício alcançou R$ 2.750.590,73, correspondendo a 8,9254%. Considerando a meta acumulada de 6,97%, a rentabilidade alcançada correspondeu a 128,10% da meta do período.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Após a apresentação dos indicadores econômicos, dos relatórios de investimentos, das aplicações e resgates, do enquadramento e da rentabilidade da carteira, foi realizada a análise do cenário prospectivo. Destacou-se que o ambiente econômico permanecia sujeito a incertezas, tanto no cenário internacional quanto no doméstico. No exterior, permaneciam relevantes os efeitos da política monetária das principais economias e a possibilidade de manutenção dos juros em níveis elevados por período prolongado. No Brasil, a moderação da atividade econômica poderia contribuir para uma trajetória de juros mais baixos no médio prazo, embora permanecessem como fatores de atenção a inflação de serviços, as expectativas inflacionárias, o cenário fiscal e as incertezas políticas.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Diante desse cenário, foi informado que o Comitê de Investimentos vinha mantendo postura prudente na alocação dos recursos, com predominância de investimentos de menor volatilidade, especialmente estratégias referenciadas em DI e títulos de curto prazo. No segmento de renda variável, foi mantida visão construtiva para o médio e longo prazo, porém com seletividade e gestão ativa, considerando as incertezas ainda presentes nos cenários doméstico e internacional.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Também foi mencionada a necessidade de acompanhamento da carteira para eventuais ajustes e resgates pontuais, quando necessários, visando ao adequado enquadramento dos investimentos à regulamentação vigente, à Política de Investimentos e aos requisitos relacionados ao Pró-Gestão.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Finalizada a apresentação dos relatórios, a Presidente abriu espaço para manifestações e esclarecimentos. Após os questionamentos apresentados e os respectivos esclarecimentos prestados pelo Gestor de Investimentos, os relatórios foram colocados em votação e aprovados por unanimidade pelos membros presentes.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Na sequência, a servidora com dedicação exclusiva da Unidade Gestora, Kelly Blass, passou a informar aos presentes sobre assuntos de interesse do Conselho. Comunicou que, até a presente data, foram realizadas 100% das provas de vida dos inativos.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Em continuidade, a servidora Kelly reforçou sua designação para compor a comissão responsável pela revisão de vantagens funcionais, nos termos da Lei Complementar nº 226/2026, referente ao denominado descongelamento, conforme Portaria nº 25.245/2026. Informou que os trabalhos da referida comissão ainda se encontram em andamento e que, nos últimos dias, esteve envolvida no recebimento e na análise da documentação destinada à atualização do Censo Cadastral Previdenciário dos servidores ativos e inativos, iniciado em 10/08/2026, com prazo previsto até 18/09/2026.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Comunicou, ainda, que está designada para compor a comissão referente ao PAE nº 05/2026, cujos trabalhos ainda não foram iniciados.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Informou, por fim, que, em 15/09/2026, encaminhou formulário contendo os dados necessários à Avaliação Atuarial 2027, bem como os demais arquivos solicitados pela empresa LUMENS.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Nada mais havendo a tratar, a Presidente, Deise Fernanda Costella, agradeceu a presença de todos e declarou encerrada a reunião</w:t>
      </w:r>
      <w:r w:rsidRPr="006D56D6">
        <w:rPr>
          <w:rFonts w:ascii="Arial" w:hAnsi="Arial" w:cs="Arial"/>
          <w:sz w:val="20"/>
          <w:szCs w:val="20"/>
        </w:rPr>
        <w:t xml:space="preserve"> </w:t>
      </w:r>
      <w:r w:rsidRPr="006D56D6">
        <w:rPr>
          <w:rFonts w:ascii="Arial" w:hAnsi="Arial" w:cs="Arial"/>
          <w:sz w:val="20"/>
          <w:szCs w:val="20"/>
        </w:rPr>
        <w:t>cuja ata foi por mim lavrada e assinada, seguida dos demais conselheiros e presentes. São Valério do Sul/RS, em 16 de setembro de 2026.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0BE9BB" w14:textId="6C2B97F9" w:rsidR="006D56D6" w:rsidRPr="006D56D6" w:rsidRDefault="006D56D6" w:rsidP="006D56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C6ABB6" w14:textId="77777777" w:rsidR="006D56D6" w:rsidRPr="006D56D6" w:rsidRDefault="006D56D6" w:rsidP="0045289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D12EC1" w14:textId="77777777" w:rsidR="006D56D6" w:rsidRPr="006D56D6" w:rsidRDefault="006D56D6" w:rsidP="0045289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D56D6" w:rsidRPr="006D56D6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1634">
    <w:abstractNumId w:val="2"/>
  </w:num>
  <w:num w:numId="2" w16cid:durableId="670959344">
    <w:abstractNumId w:val="1"/>
  </w:num>
  <w:num w:numId="3" w16cid:durableId="1758362023">
    <w:abstractNumId w:val="0"/>
  </w:num>
  <w:num w:numId="4" w16cid:durableId="527763881">
    <w:abstractNumId w:val="3"/>
  </w:num>
  <w:num w:numId="5" w16cid:durableId="1481193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9A"/>
    <w:rsid w:val="000000D6"/>
    <w:rsid w:val="000026DF"/>
    <w:rsid w:val="0001154B"/>
    <w:rsid w:val="00022F62"/>
    <w:rsid w:val="00033529"/>
    <w:rsid w:val="00037A19"/>
    <w:rsid w:val="000428A3"/>
    <w:rsid w:val="00047653"/>
    <w:rsid w:val="00047BE6"/>
    <w:rsid w:val="0005645D"/>
    <w:rsid w:val="000604CE"/>
    <w:rsid w:val="00065704"/>
    <w:rsid w:val="00065BF1"/>
    <w:rsid w:val="00066ACD"/>
    <w:rsid w:val="00067E4B"/>
    <w:rsid w:val="000808F3"/>
    <w:rsid w:val="00087641"/>
    <w:rsid w:val="000B2795"/>
    <w:rsid w:val="000B38B3"/>
    <w:rsid w:val="000B4429"/>
    <w:rsid w:val="000B671A"/>
    <w:rsid w:val="000C0608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005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D7909"/>
    <w:rsid w:val="001E169C"/>
    <w:rsid w:val="001E2DEB"/>
    <w:rsid w:val="001E5B33"/>
    <w:rsid w:val="001E78CB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12D9"/>
    <w:rsid w:val="00264BF0"/>
    <w:rsid w:val="00267405"/>
    <w:rsid w:val="00270E5D"/>
    <w:rsid w:val="00272A4F"/>
    <w:rsid w:val="00272FB7"/>
    <w:rsid w:val="002732DF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3548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05D8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937AD"/>
    <w:rsid w:val="003A118F"/>
    <w:rsid w:val="003A16F5"/>
    <w:rsid w:val="003B0616"/>
    <w:rsid w:val="003B217D"/>
    <w:rsid w:val="003C141F"/>
    <w:rsid w:val="003C1580"/>
    <w:rsid w:val="003C1E6C"/>
    <w:rsid w:val="003C3BE2"/>
    <w:rsid w:val="003C60D5"/>
    <w:rsid w:val="003D22B8"/>
    <w:rsid w:val="003D4C08"/>
    <w:rsid w:val="003D593E"/>
    <w:rsid w:val="003D7309"/>
    <w:rsid w:val="003E4829"/>
    <w:rsid w:val="003E6923"/>
    <w:rsid w:val="003F0564"/>
    <w:rsid w:val="003F4A5C"/>
    <w:rsid w:val="004068B1"/>
    <w:rsid w:val="0041026D"/>
    <w:rsid w:val="00416D80"/>
    <w:rsid w:val="004231CD"/>
    <w:rsid w:val="00435117"/>
    <w:rsid w:val="00436461"/>
    <w:rsid w:val="0043790A"/>
    <w:rsid w:val="004405F6"/>
    <w:rsid w:val="00441FB4"/>
    <w:rsid w:val="0044758B"/>
    <w:rsid w:val="00452681"/>
    <w:rsid w:val="0045289C"/>
    <w:rsid w:val="004553F1"/>
    <w:rsid w:val="00460CFD"/>
    <w:rsid w:val="004628C3"/>
    <w:rsid w:val="00464E0B"/>
    <w:rsid w:val="00466FDB"/>
    <w:rsid w:val="004676ED"/>
    <w:rsid w:val="00470A4D"/>
    <w:rsid w:val="00475611"/>
    <w:rsid w:val="004873CA"/>
    <w:rsid w:val="004902DD"/>
    <w:rsid w:val="004962C6"/>
    <w:rsid w:val="004A0597"/>
    <w:rsid w:val="004A4214"/>
    <w:rsid w:val="004A4B35"/>
    <w:rsid w:val="004B1802"/>
    <w:rsid w:val="004B35D6"/>
    <w:rsid w:val="004C0B8A"/>
    <w:rsid w:val="004C5FD7"/>
    <w:rsid w:val="004D63E5"/>
    <w:rsid w:val="004E2FDA"/>
    <w:rsid w:val="004E489D"/>
    <w:rsid w:val="004E568B"/>
    <w:rsid w:val="004F1794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150E"/>
    <w:rsid w:val="00555CCF"/>
    <w:rsid w:val="00556F9F"/>
    <w:rsid w:val="00557E47"/>
    <w:rsid w:val="00560DE7"/>
    <w:rsid w:val="005754CD"/>
    <w:rsid w:val="00575709"/>
    <w:rsid w:val="00581DB3"/>
    <w:rsid w:val="0059020D"/>
    <w:rsid w:val="00592F3E"/>
    <w:rsid w:val="005A7C24"/>
    <w:rsid w:val="005B4BF4"/>
    <w:rsid w:val="005B58F6"/>
    <w:rsid w:val="005B7861"/>
    <w:rsid w:val="005C0A99"/>
    <w:rsid w:val="005D1954"/>
    <w:rsid w:val="005D48B0"/>
    <w:rsid w:val="005E0CEA"/>
    <w:rsid w:val="005E5001"/>
    <w:rsid w:val="005E6CEA"/>
    <w:rsid w:val="005E6D1C"/>
    <w:rsid w:val="005F1617"/>
    <w:rsid w:val="005F2B61"/>
    <w:rsid w:val="006007D8"/>
    <w:rsid w:val="00603985"/>
    <w:rsid w:val="00613320"/>
    <w:rsid w:val="00614E3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B46BD"/>
    <w:rsid w:val="006B5B11"/>
    <w:rsid w:val="006C130C"/>
    <w:rsid w:val="006C1C87"/>
    <w:rsid w:val="006C25A4"/>
    <w:rsid w:val="006C47AC"/>
    <w:rsid w:val="006D3948"/>
    <w:rsid w:val="006D56D6"/>
    <w:rsid w:val="006E086E"/>
    <w:rsid w:val="006E129C"/>
    <w:rsid w:val="006E3C17"/>
    <w:rsid w:val="006E7D69"/>
    <w:rsid w:val="006F1F39"/>
    <w:rsid w:val="006F3569"/>
    <w:rsid w:val="007110DA"/>
    <w:rsid w:val="0071612C"/>
    <w:rsid w:val="0071723A"/>
    <w:rsid w:val="00724EA3"/>
    <w:rsid w:val="00743548"/>
    <w:rsid w:val="007472C6"/>
    <w:rsid w:val="00750182"/>
    <w:rsid w:val="00753DD7"/>
    <w:rsid w:val="007554A8"/>
    <w:rsid w:val="00757B6E"/>
    <w:rsid w:val="00763C67"/>
    <w:rsid w:val="0076696C"/>
    <w:rsid w:val="00766980"/>
    <w:rsid w:val="0079260D"/>
    <w:rsid w:val="00792BA2"/>
    <w:rsid w:val="0079503B"/>
    <w:rsid w:val="007A41AA"/>
    <w:rsid w:val="007A4438"/>
    <w:rsid w:val="007B20A5"/>
    <w:rsid w:val="007B587D"/>
    <w:rsid w:val="007C07B3"/>
    <w:rsid w:val="007D72EC"/>
    <w:rsid w:val="007E4B3C"/>
    <w:rsid w:val="007F4E24"/>
    <w:rsid w:val="00800612"/>
    <w:rsid w:val="0080250A"/>
    <w:rsid w:val="008041F5"/>
    <w:rsid w:val="00805423"/>
    <w:rsid w:val="008061C2"/>
    <w:rsid w:val="00811D30"/>
    <w:rsid w:val="00814BF1"/>
    <w:rsid w:val="00815554"/>
    <w:rsid w:val="00826E0D"/>
    <w:rsid w:val="0083003B"/>
    <w:rsid w:val="008336B5"/>
    <w:rsid w:val="00847FCB"/>
    <w:rsid w:val="008511F1"/>
    <w:rsid w:val="008557E9"/>
    <w:rsid w:val="00871E72"/>
    <w:rsid w:val="00872161"/>
    <w:rsid w:val="00874BC9"/>
    <w:rsid w:val="008760D3"/>
    <w:rsid w:val="00881FDD"/>
    <w:rsid w:val="0088652E"/>
    <w:rsid w:val="008A3D77"/>
    <w:rsid w:val="008A55A8"/>
    <w:rsid w:val="008A7E67"/>
    <w:rsid w:val="008C0EDB"/>
    <w:rsid w:val="008C5A11"/>
    <w:rsid w:val="008D0CB0"/>
    <w:rsid w:val="008D3FAC"/>
    <w:rsid w:val="00904A17"/>
    <w:rsid w:val="00910E2E"/>
    <w:rsid w:val="009224DE"/>
    <w:rsid w:val="00927D64"/>
    <w:rsid w:val="00931C28"/>
    <w:rsid w:val="00934038"/>
    <w:rsid w:val="009363C9"/>
    <w:rsid w:val="00961F9E"/>
    <w:rsid w:val="0096286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D690D"/>
    <w:rsid w:val="009E3189"/>
    <w:rsid w:val="009E5BA1"/>
    <w:rsid w:val="009E5CA6"/>
    <w:rsid w:val="009F3751"/>
    <w:rsid w:val="00A02569"/>
    <w:rsid w:val="00A02840"/>
    <w:rsid w:val="00A10CB4"/>
    <w:rsid w:val="00A11776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1FD"/>
    <w:rsid w:val="00A757CD"/>
    <w:rsid w:val="00A77275"/>
    <w:rsid w:val="00A80C9F"/>
    <w:rsid w:val="00A83ABF"/>
    <w:rsid w:val="00A8782A"/>
    <w:rsid w:val="00A97D18"/>
    <w:rsid w:val="00AA0D1B"/>
    <w:rsid w:val="00AA6FBC"/>
    <w:rsid w:val="00AB4F24"/>
    <w:rsid w:val="00AC3D50"/>
    <w:rsid w:val="00AD1549"/>
    <w:rsid w:val="00AD373F"/>
    <w:rsid w:val="00AD4ACF"/>
    <w:rsid w:val="00AE081F"/>
    <w:rsid w:val="00AE6795"/>
    <w:rsid w:val="00AF02AC"/>
    <w:rsid w:val="00AF524F"/>
    <w:rsid w:val="00AF712D"/>
    <w:rsid w:val="00B12BEA"/>
    <w:rsid w:val="00B154E0"/>
    <w:rsid w:val="00B212CB"/>
    <w:rsid w:val="00B21642"/>
    <w:rsid w:val="00B21B86"/>
    <w:rsid w:val="00B260E4"/>
    <w:rsid w:val="00B3293B"/>
    <w:rsid w:val="00B41F3C"/>
    <w:rsid w:val="00B44958"/>
    <w:rsid w:val="00B55666"/>
    <w:rsid w:val="00B56EF6"/>
    <w:rsid w:val="00B5728F"/>
    <w:rsid w:val="00B618D4"/>
    <w:rsid w:val="00B63C50"/>
    <w:rsid w:val="00B73823"/>
    <w:rsid w:val="00B765FE"/>
    <w:rsid w:val="00B907D9"/>
    <w:rsid w:val="00B978DE"/>
    <w:rsid w:val="00BA0CC2"/>
    <w:rsid w:val="00BA5EE7"/>
    <w:rsid w:val="00BB3658"/>
    <w:rsid w:val="00BC0A8D"/>
    <w:rsid w:val="00BC20B0"/>
    <w:rsid w:val="00BD42E6"/>
    <w:rsid w:val="00BD747D"/>
    <w:rsid w:val="00BE6507"/>
    <w:rsid w:val="00BF205B"/>
    <w:rsid w:val="00BF309D"/>
    <w:rsid w:val="00BF7890"/>
    <w:rsid w:val="00C02D9C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C582D"/>
    <w:rsid w:val="00CD3760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3E24"/>
    <w:rsid w:val="00D74DD3"/>
    <w:rsid w:val="00D843E0"/>
    <w:rsid w:val="00D90E71"/>
    <w:rsid w:val="00D92475"/>
    <w:rsid w:val="00D95EC2"/>
    <w:rsid w:val="00DA4A99"/>
    <w:rsid w:val="00DB136F"/>
    <w:rsid w:val="00DB69B1"/>
    <w:rsid w:val="00DB780D"/>
    <w:rsid w:val="00DC2792"/>
    <w:rsid w:val="00DC2996"/>
    <w:rsid w:val="00DC4527"/>
    <w:rsid w:val="00DD2A68"/>
    <w:rsid w:val="00DD38AA"/>
    <w:rsid w:val="00DD7BD0"/>
    <w:rsid w:val="00DE63E0"/>
    <w:rsid w:val="00DF51FA"/>
    <w:rsid w:val="00DF652E"/>
    <w:rsid w:val="00DF6F3F"/>
    <w:rsid w:val="00E00C0C"/>
    <w:rsid w:val="00E01F91"/>
    <w:rsid w:val="00E32425"/>
    <w:rsid w:val="00E36FB5"/>
    <w:rsid w:val="00E44E17"/>
    <w:rsid w:val="00E54120"/>
    <w:rsid w:val="00E72073"/>
    <w:rsid w:val="00E8266C"/>
    <w:rsid w:val="00E8622B"/>
    <w:rsid w:val="00E9072A"/>
    <w:rsid w:val="00E90C6B"/>
    <w:rsid w:val="00E90E19"/>
    <w:rsid w:val="00E92ACE"/>
    <w:rsid w:val="00E952C7"/>
    <w:rsid w:val="00EA21E4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D3406"/>
    <w:rsid w:val="00EE2F76"/>
    <w:rsid w:val="00EE5915"/>
    <w:rsid w:val="00EE72BA"/>
    <w:rsid w:val="00EF2795"/>
    <w:rsid w:val="00EF3243"/>
    <w:rsid w:val="00EF6D7E"/>
    <w:rsid w:val="00F14AEF"/>
    <w:rsid w:val="00F22EEF"/>
    <w:rsid w:val="00F27A7A"/>
    <w:rsid w:val="00F34F6D"/>
    <w:rsid w:val="00F5322E"/>
    <w:rsid w:val="00F60136"/>
    <w:rsid w:val="00F6040F"/>
    <w:rsid w:val="00F7257C"/>
    <w:rsid w:val="00F743E3"/>
    <w:rsid w:val="00F766D8"/>
    <w:rsid w:val="00F803DD"/>
    <w:rsid w:val="00F841E6"/>
    <w:rsid w:val="00F9538A"/>
    <w:rsid w:val="00F97517"/>
    <w:rsid w:val="00F97E19"/>
    <w:rsid w:val="00FA7E2B"/>
    <w:rsid w:val="00FD7C9B"/>
    <w:rsid w:val="00FE1E76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02D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E86B1-5368-44D5-86C6-5F442A4EF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3</Pages>
  <Words>2193</Words>
  <Characters>11846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Sao Valerio</dc:creator>
  <cp:lastModifiedBy>Kelly Blass</cp:lastModifiedBy>
  <cp:revision>13</cp:revision>
  <cp:lastPrinted>2026-05-20T16:13:00Z</cp:lastPrinted>
  <dcterms:created xsi:type="dcterms:W3CDTF">2026-07-23T13:04:00Z</dcterms:created>
  <dcterms:modified xsi:type="dcterms:W3CDTF">2026-10-20T17:41:00Z</dcterms:modified>
</cp:coreProperties>
</file>