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jc w:val="center"/>
        <w:rPr>
          <w:rFonts w:hint="default" w:ascii="Times New Roman" w:hAnsi="Times New Roman" w:cs="Times New Roman"/>
          <w:b/>
          <w:bCs/>
          <w:sz w:val="24"/>
          <w:szCs w:val="24"/>
        </w:rPr>
      </w:pPr>
    </w:p>
    <w:p>
      <w:pPr>
        <w:spacing w:after="120"/>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ANEXO V </w:t>
      </w:r>
    </w:p>
    <w:p>
      <w:pPr>
        <w:spacing w:after="120"/>
        <w:ind w:left="100"/>
        <w:jc w:val="center"/>
        <w:rPr>
          <w:rFonts w:hint="default" w:ascii="Times New Roman" w:hAnsi="Times New Roman" w:cs="Times New Roman"/>
          <w:b/>
          <w:sz w:val="24"/>
          <w:szCs w:val="24"/>
        </w:rPr>
      </w:pPr>
      <w:r>
        <w:rPr>
          <w:rFonts w:hint="default" w:ascii="Times New Roman" w:hAnsi="Times New Roman" w:cs="Times New Roman"/>
          <w:b/>
          <w:sz w:val="24"/>
          <w:szCs w:val="24"/>
        </w:rPr>
        <w:t>TERMO DE EXECUÇÃO CULTURAL</w:t>
      </w:r>
    </w:p>
    <w:p>
      <w:pPr>
        <w:spacing w:after="120"/>
        <w:ind w:left="100"/>
        <w:jc w:val="center"/>
        <w:rPr>
          <w:rFonts w:hint="default" w:ascii="Times New Roman" w:hAnsi="Times New Roman" w:cs="Times New Roman"/>
          <w:b/>
          <w:sz w:val="24"/>
          <w:szCs w:val="24"/>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ind w:right="120"/>
        <w:jc w:val="both"/>
        <w:rPr>
          <w:rFonts w:hint="default" w:ascii="Times New Roman" w:hAnsi="Times New Roman" w:cs="Times New Roman"/>
          <w:sz w:val="24"/>
          <w:szCs w:val="24"/>
        </w:rPr>
      </w:pPr>
      <w:r>
        <w:rPr>
          <w:rFonts w:hint="default" w:ascii="Times New Roman" w:hAnsi="Times New Roman" w:cs="Times New Roman"/>
          <w:sz w:val="24"/>
          <w:szCs w:val="24"/>
        </w:rPr>
        <w:t xml:space="preserve">TERMO DE EXECUÇÃO CULTURAL Nº </w:t>
      </w:r>
      <w:r>
        <w:rPr>
          <w:rFonts w:hint="default" w:ascii="Times New Roman" w:hAnsi="Times New Roman" w:cs="Times New Roman"/>
          <w:color w:val="FF0000"/>
          <w:sz w:val="24"/>
          <w:szCs w:val="24"/>
        </w:rPr>
        <w:t>[INDICAR NÚMERO]</w:t>
      </w:r>
      <w:r>
        <w:rPr>
          <w:rFonts w:hint="default" w:ascii="Times New Roman" w:hAnsi="Times New Roman" w:cs="Times New Roman"/>
          <w:sz w:val="24"/>
          <w:szCs w:val="24"/>
        </w:rPr>
        <w:t>/</w:t>
      </w:r>
      <w:r>
        <w:rPr>
          <w:rFonts w:hint="default" w:ascii="Times New Roman" w:hAnsi="Times New Roman" w:cs="Times New Roman"/>
          <w:sz w:val="24"/>
          <w:szCs w:val="24"/>
          <w:lang w:val="pt-BR"/>
        </w:rPr>
        <w:t>2026</w:t>
      </w:r>
      <w:r>
        <w:rPr>
          <w:rFonts w:hint="default" w:ascii="Times New Roman" w:hAnsi="Times New Roman" w:cs="Times New Roman"/>
          <w:sz w:val="24"/>
          <w:szCs w:val="24"/>
        </w:rPr>
        <w:t xml:space="preserve"> TENDO POR OBJETO A CONCESSÃO DE APOIO FINANCEIRO A AÇÕES CULTURAIS CONTEMPLADAS PELO EDITAL </w:t>
      </w:r>
      <w:r>
        <w:rPr>
          <w:rFonts w:hint="default" w:ascii="Times New Roman" w:hAnsi="Times New Roman" w:cs="Times New Roman"/>
          <w:b w:val="0"/>
          <w:bCs/>
          <w:color w:val="000000"/>
          <w:sz w:val="24"/>
          <w:szCs w:val="24"/>
          <w:u w:val="single"/>
        </w:rPr>
        <w:t xml:space="preserve">Edital </w:t>
      </w:r>
      <w:r>
        <w:rPr>
          <w:rFonts w:hint="default" w:ascii="Times New Roman" w:hAnsi="Times New Roman" w:cs="Times New Roman"/>
          <w:b w:val="0"/>
          <w:bCs/>
          <w:color w:val="000000"/>
          <w:sz w:val="24"/>
          <w:szCs w:val="24"/>
          <w:u w:val="single"/>
          <w:lang w:val="pt-BR"/>
        </w:rPr>
        <w:t xml:space="preserve">Nº 64, de 23 de junho de </w:t>
      </w:r>
      <w:r>
        <w:rPr>
          <w:rFonts w:hint="default" w:ascii="Times New Roman" w:hAnsi="Times New Roman" w:cs="Times New Roman"/>
          <w:b w:val="0"/>
          <w:bCs/>
          <w:color w:val="000000"/>
          <w:sz w:val="24"/>
          <w:szCs w:val="24"/>
          <w:highlight w:val="none"/>
          <w:u w:val="single"/>
          <w:lang w:val="pt-BR"/>
        </w:rPr>
        <w:t>2</w:t>
      </w:r>
      <w:r>
        <w:rPr>
          <w:rFonts w:hint="default" w:ascii="Times New Roman" w:hAnsi="Times New Roman" w:cs="Times New Roman"/>
          <w:b w:val="0"/>
          <w:bCs/>
          <w:color w:val="000000"/>
          <w:sz w:val="24"/>
          <w:szCs w:val="24"/>
          <w:highlight w:val="none"/>
          <w:u w:val="single"/>
        </w:rPr>
        <w:t>02</w:t>
      </w:r>
      <w:r>
        <w:rPr>
          <w:rFonts w:hint="default" w:ascii="Times New Roman" w:hAnsi="Times New Roman" w:cs="Times New Roman"/>
          <w:b w:val="0"/>
          <w:bCs/>
          <w:color w:val="000000"/>
          <w:sz w:val="24"/>
          <w:szCs w:val="24"/>
          <w:highlight w:val="none"/>
          <w:u w:val="single"/>
          <w:lang w:val="pt-BR"/>
        </w:rPr>
        <w:t>6</w:t>
      </w:r>
      <w:r>
        <w:rPr>
          <w:rFonts w:hint="default" w:ascii="Times New Roman" w:hAnsi="Times New Roman" w:cs="Times New Roman"/>
          <w:i/>
          <w:iCs/>
          <w:sz w:val="24"/>
          <w:szCs w:val="24"/>
        </w:rPr>
        <w:t>,</w:t>
      </w:r>
      <w:r>
        <w:rPr>
          <w:rFonts w:hint="default" w:ascii="Times New Roman" w:hAnsi="Times New Roman" w:cs="Times New Roman"/>
          <w:sz w:val="24"/>
          <w:szCs w:val="24"/>
        </w:rPr>
        <w:t xml:space="preserve"> NOS TERMOS DA LEI Nº 14.399/2022 (PNAB), DA LEI Nº 14.903/2024 (MARCO REGULATÓRIO DO FOMENTO À CULTURA), DO DECRETO N. 11.740/2023 (DECRETO PNAB) E DO DECRETO Nº 11.453/2023 (DECRETO DE FOMENTO).</w:t>
      </w:r>
    </w:p>
    <w:p>
      <w:pPr>
        <w:spacing w:after="100"/>
        <w:ind w:left="100"/>
        <w:jc w:val="both"/>
        <w:rPr>
          <w:rFonts w:hint="default" w:ascii="Times New Roman" w:hAnsi="Times New Roman" w:cs="Times New Roman"/>
          <w:sz w:val="24"/>
          <w:szCs w:val="24"/>
        </w:rPr>
      </w:pP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1. PARTES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1.1 O</w:t>
      </w:r>
      <w:r>
        <w:rPr>
          <w:rFonts w:hint="default" w:ascii="Times New Roman" w:hAnsi="Times New Roman" w:cs="Times New Roman"/>
          <w:color w:val="FF0000"/>
          <w:sz w:val="24"/>
          <w:szCs w:val="24"/>
          <w:lang w:val="pt-BR"/>
        </w:rPr>
        <w:t xml:space="preserve"> </w:t>
      </w:r>
      <w:r>
        <w:rPr>
          <w:rFonts w:hint="default" w:ascii="Times New Roman" w:hAnsi="Times New Roman" w:cs="Times New Roman"/>
          <w:color w:val="000000" w:themeColor="text1"/>
          <w:sz w:val="24"/>
          <w:szCs w:val="24"/>
          <w:lang w:val="pt-BR"/>
          <w14:textFill>
            <w14:solidFill>
              <w14:schemeClr w14:val="tx1"/>
            </w14:solidFill>
          </w14:textFill>
        </w:rPr>
        <w:t>Município de Santo Cristo</w:t>
      </w:r>
      <w:r>
        <w:rPr>
          <w:rFonts w:hint="default" w:ascii="Times New Roman" w:hAnsi="Times New Roman" w:cs="Times New Roman"/>
          <w:sz w:val="24"/>
          <w:szCs w:val="24"/>
        </w:rPr>
        <w:t>, neste ato representado p</w:t>
      </w:r>
      <w:r>
        <w:rPr>
          <w:rFonts w:hint="default" w:ascii="Times New Roman" w:hAnsi="Times New Roman" w:cs="Times New Roman"/>
          <w:sz w:val="24"/>
          <w:szCs w:val="24"/>
          <w:lang w:val="pt-BR"/>
        </w:rPr>
        <w:t>elo Prefeito Municipal</w:t>
      </w:r>
      <w:r>
        <w:rPr>
          <w:rFonts w:hint="default" w:ascii="Times New Roman" w:hAnsi="Times New Roman" w:cs="Times New Roman"/>
          <w:sz w:val="24"/>
          <w:szCs w:val="24"/>
        </w:rPr>
        <w:t>, Senhor</w:t>
      </w:r>
      <w:r>
        <w:rPr>
          <w:rFonts w:hint="default" w:ascii="Times New Roman" w:hAnsi="Times New Roman" w:cs="Times New Roman"/>
          <w:sz w:val="24"/>
          <w:szCs w:val="24"/>
          <w:lang w:val="pt-BR"/>
        </w:rPr>
        <w:t xml:space="preserve"> Charles Thiele</w:t>
      </w:r>
      <w:r>
        <w:rPr>
          <w:rFonts w:hint="default" w:ascii="Times New Roman" w:hAnsi="Times New Roman" w:cs="Times New Roman"/>
          <w:sz w:val="24"/>
          <w:szCs w:val="24"/>
        </w:rPr>
        <w:t xml:space="preserve">, e o </w:t>
      </w:r>
      <w:r>
        <w:rPr>
          <w:rFonts w:hint="default" w:ascii="Times New Roman" w:hAnsi="Times New Roman" w:cs="Times New Roman"/>
          <w:sz w:val="24"/>
          <w:szCs w:val="24"/>
          <w:lang w:val="pt-BR"/>
        </w:rPr>
        <w:t>GRUPO</w:t>
      </w:r>
      <w:r>
        <w:rPr>
          <w:rFonts w:hint="default" w:ascii="Times New Roman" w:hAnsi="Times New Roman" w:cs="Times New Roman"/>
          <w:sz w:val="24"/>
          <w:szCs w:val="24"/>
        </w:rPr>
        <w:t xml:space="preserve"> CULTURAL[INDICAR </w:t>
      </w:r>
      <w:r>
        <w:rPr>
          <w:rFonts w:hint="default" w:ascii="Times New Roman" w:hAnsi="Times New Roman" w:cs="Times New Roman"/>
          <w:sz w:val="24"/>
          <w:szCs w:val="24"/>
          <w:lang w:val="pt-BR"/>
        </w:rPr>
        <w:t>NOME DO GRUPO CONTEMPLADO</w:t>
      </w:r>
      <w:r>
        <w:rPr>
          <w:rFonts w:hint="default" w:ascii="Times New Roman" w:hAnsi="Times New Roman" w:cs="Times New Roman"/>
          <w:sz w:val="24"/>
          <w:szCs w:val="24"/>
        </w:rPr>
        <w:t>]</w:t>
      </w:r>
      <w:r>
        <w:rPr>
          <w:rFonts w:hint="default" w:ascii="Times New Roman" w:hAnsi="Times New Roman" w:cs="Times New Roman"/>
          <w:sz w:val="24"/>
          <w:szCs w:val="24"/>
          <w:lang w:val="pt-BR"/>
        </w:rPr>
        <w:t>, através do seu representante legal</w:t>
      </w:r>
      <w:r>
        <w:rPr>
          <w:rFonts w:hint="default" w:ascii="Times New Roman" w:hAnsi="Times New Roman" w:cs="Times New Roman"/>
          <w:sz w:val="24"/>
          <w:szCs w:val="24"/>
        </w:rPr>
        <w:t>, [INDICAR NOME DO</w:t>
      </w:r>
      <w:r>
        <w:rPr>
          <w:rFonts w:hint="default" w:ascii="Times New Roman" w:hAnsi="Times New Roman" w:cs="Times New Roman"/>
          <w:sz w:val="24"/>
          <w:szCs w:val="24"/>
          <w:lang w:val="pt-BR"/>
        </w:rPr>
        <w:t xml:space="preserve"> REPRESENTANTE LEGAL DO</w:t>
      </w:r>
      <w:r>
        <w:rPr>
          <w:rFonts w:hint="default" w:ascii="Times New Roman" w:hAnsi="Times New Roman" w:cs="Times New Roman"/>
          <w:sz w:val="24"/>
          <w:szCs w:val="24"/>
        </w:rPr>
        <w:t xml:space="preserve"> </w:t>
      </w:r>
      <w:r>
        <w:rPr>
          <w:rFonts w:hint="default" w:ascii="Times New Roman" w:hAnsi="Times New Roman" w:cs="Times New Roman"/>
          <w:sz w:val="24"/>
          <w:szCs w:val="24"/>
          <w:lang w:val="pt-BR"/>
        </w:rPr>
        <w:t>GRUPO</w:t>
      </w:r>
      <w:r>
        <w:rPr>
          <w:rFonts w:hint="default" w:ascii="Times New Roman" w:hAnsi="Times New Roman" w:cs="Times New Roman"/>
          <w:sz w:val="24"/>
          <w:szCs w:val="24"/>
        </w:rPr>
        <w:t>],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2. PROCEDIMENTO</w:t>
      </w:r>
    </w:p>
    <w:p>
      <w:pPr>
        <w:spacing w:after="120"/>
        <w:ind w:left="100"/>
        <w:jc w:val="both"/>
        <w:rPr>
          <w:rFonts w:hint="default" w:ascii="Times New Roman" w:hAnsi="Times New Roman" w:cs="Times New Roman"/>
          <w:sz w:val="24"/>
          <w:szCs w:val="24"/>
        </w:rPr>
      </w:pPr>
      <w:r>
        <w:rPr>
          <w:rFonts w:hint="default" w:ascii="Times New Roman" w:hAnsi="Times New Roman" w:cs="Times New Roman"/>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3. OBJETO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3.1. Este Termo de Execução Cultural tem por objeto a concessão de apoio financeiro ao projeto cultural [INDICAR NOME DO PROJETO], contemplado no conforme processo administrativo nº [INDICAR NÚMERO DO PROCESSO]. </w:t>
      </w: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4. RECURSOS FINANCEIROS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4.1. Os recursos financeiros para a execução do presente termo totalizam o montante de R$ [INDICAR VALOR EM NÚMERO ARÁBICO] ([INDICAR VALOR POR EXTENSO] reais).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4.2. Serão transferidos à conta do</w:t>
      </w:r>
      <w:r>
        <w:rPr>
          <w:rFonts w:hint="default" w:ascii="Times New Roman" w:hAnsi="Times New Roman" w:cs="Times New Roman"/>
          <w:sz w:val="24"/>
          <w:szCs w:val="24"/>
          <w:lang w:val="pt-BR"/>
        </w:rPr>
        <w:t xml:space="preserve"> GRUPO</w:t>
      </w:r>
      <w:r>
        <w:rPr>
          <w:rFonts w:hint="default" w:ascii="Times New Roman" w:hAnsi="Times New Roman" w:cs="Times New Roman"/>
          <w:sz w:val="24"/>
          <w:szCs w:val="24"/>
        </w:rPr>
        <w:t xml:space="preserve"> CULTURAL, especialmente aberta no [NOME DO BANCO], Agência [INDICAR AGÊNCIA], Conta Corrente nº [INDICAR CONTA], para recebimento e movimentação.</w:t>
      </w:r>
    </w:p>
    <w:p>
      <w:pPr>
        <w:spacing w:after="100"/>
        <w:ind w:left="100"/>
        <w:jc w:val="both"/>
        <w:rPr>
          <w:rFonts w:hint="default" w:ascii="Times New Roman" w:hAnsi="Times New Roman" w:cs="Times New Roman"/>
          <w:sz w:val="24"/>
          <w:szCs w:val="24"/>
        </w:rPr>
      </w:pP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5. APLICAÇÃO DOS RECURSOS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5.1 Os rendimentos de ativos financeiros poderão ser aplicados para o alcance do objeto, sem a necessidade de autorização prévia.</w:t>
      </w:r>
    </w:p>
    <w:p>
      <w:pPr>
        <w:spacing w:after="100"/>
        <w:ind w:left="100"/>
        <w:jc w:val="both"/>
        <w:rPr>
          <w:rFonts w:hint="default" w:ascii="Times New Roman" w:hAnsi="Times New Roman" w:cs="Times New Roman"/>
          <w:sz w:val="24"/>
          <w:szCs w:val="24"/>
          <w:lang w:val="pt-BR"/>
        </w:rPr>
      </w:pPr>
      <w:r>
        <w:rPr>
          <w:rFonts w:hint="default" w:ascii="Times New Roman" w:hAnsi="Times New Roman" w:cs="Times New Roman"/>
          <w:sz w:val="24"/>
          <w:szCs w:val="24"/>
          <w:lang w:val="pt-BR"/>
        </w:rPr>
        <w:t>5.2 Eventuais saldos remanescentes verificados ao término da execução cultural, inclusive rendimentos oriundos de aplicação financeira, deverão ser restituídos ao Município de Santo Cristo, mediante procedimento definido pela Administração Pública e observada a legislação aplicável.</w:t>
      </w:r>
    </w:p>
    <w:p>
      <w:pPr>
        <w:spacing w:after="100"/>
        <w:ind w:left="100"/>
        <w:jc w:val="both"/>
        <w:rPr>
          <w:rFonts w:hint="default" w:ascii="Times New Roman" w:hAnsi="Times New Roman" w:cs="Times New Roman"/>
          <w:sz w:val="24"/>
          <w:szCs w:val="24"/>
          <w:lang w:val="pt-BR"/>
        </w:rPr>
      </w:pP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6. OBRIGAÇÕES</w:t>
      </w:r>
    </w:p>
    <w:p>
      <w:pPr>
        <w:spacing w:after="100"/>
        <w:ind w:left="100"/>
        <w:jc w:val="both"/>
        <w:rPr>
          <w:rFonts w:hint="default" w:ascii="Times New Roman" w:hAnsi="Times New Roman" w:cs="Times New Roman"/>
          <w:color w:val="FF0000"/>
          <w:sz w:val="24"/>
          <w:szCs w:val="24"/>
          <w:lang w:val="pt-BR"/>
        </w:rPr>
      </w:pPr>
      <w:r>
        <w:rPr>
          <w:rFonts w:hint="default" w:ascii="Times New Roman" w:hAnsi="Times New Roman" w:cs="Times New Roman"/>
          <w:sz w:val="24"/>
          <w:szCs w:val="24"/>
        </w:rPr>
        <w:t>6.1 São obrigações do</w:t>
      </w:r>
      <w:r>
        <w:rPr>
          <w:rFonts w:hint="default" w:ascii="Times New Roman" w:hAnsi="Times New Roman" w:cs="Times New Roman"/>
          <w:sz w:val="24"/>
          <w:szCs w:val="24"/>
          <w:lang w:val="pt-BR"/>
        </w:rPr>
        <w:t xml:space="preserve"> Município de Santo Cristo: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 transferir os recursos ao</w:t>
      </w:r>
      <w:r>
        <w:rPr>
          <w:rFonts w:hint="default" w:ascii="Times New Roman" w:hAnsi="Times New Roman" w:cs="Times New Roman"/>
          <w:sz w:val="24"/>
          <w:szCs w:val="24"/>
          <w:lang w:val="pt-BR"/>
        </w:rPr>
        <w:t xml:space="preserve"> GRUPO</w:t>
      </w:r>
      <w:r>
        <w:rPr>
          <w:rFonts w:hint="default" w:ascii="Times New Roman" w:hAnsi="Times New Roman" w:cs="Times New Roman"/>
          <w:sz w:val="24"/>
          <w:szCs w:val="24"/>
        </w:rPr>
        <w:t xml:space="preserve"> CULTURAL;</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II) orientar o</w:t>
      </w:r>
      <w:r>
        <w:rPr>
          <w:rFonts w:hint="default" w:ascii="Times New Roman" w:hAnsi="Times New Roman" w:cs="Times New Roman"/>
          <w:sz w:val="24"/>
          <w:szCs w:val="24"/>
          <w:lang w:val="pt-BR"/>
        </w:rPr>
        <w:t xml:space="preserve"> GRUPO</w:t>
      </w:r>
      <w:r>
        <w:rPr>
          <w:rFonts w:hint="default" w:ascii="Times New Roman" w:hAnsi="Times New Roman" w:cs="Times New Roman"/>
          <w:sz w:val="24"/>
          <w:szCs w:val="24"/>
        </w:rPr>
        <w:t xml:space="preserve"> CULTURAL sobre o procedimento para a prestação de informações dos recursos concedidos;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III) analisar e emitir parecer sobre os relatórios e sobre a prestação de informações apresentados pelo</w:t>
      </w:r>
      <w:r>
        <w:rPr>
          <w:rFonts w:hint="default" w:ascii="Times New Roman" w:hAnsi="Times New Roman" w:cs="Times New Roman"/>
          <w:sz w:val="24"/>
          <w:szCs w:val="24"/>
          <w:lang w:val="pt-BR"/>
        </w:rPr>
        <w:t xml:space="preserve"> GRUPO</w:t>
      </w:r>
      <w:r>
        <w:rPr>
          <w:rFonts w:hint="default" w:ascii="Times New Roman" w:hAnsi="Times New Roman" w:cs="Times New Roman"/>
          <w:sz w:val="24"/>
          <w:szCs w:val="24"/>
        </w:rPr>
        <w:t xml:space="preserve"> CULTURAL;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IV) zelar pelo fiel cumprimento deste termo de execução cultural;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V) adotar medidas saneadoras e corretivas quando houver inadimplemento;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VI) monitorar o cumprimento pelo</w:t>
      </w:r>
      <w:r>
        <w:rPr>
          <w:rFonts w:hint="default" w:ascii="Times New Roman" w:hAnsi="Times New Roman" w:cs="Times New Roman"/>
          <w:sz w:val="24"/>
          <w:szCs w:val="24"/>
          <w:lang w:val="pt-BR"/>
        </w:rPr>
        <w:t xml:space="preserve"> GRUPO</w:t>
      </w:r>
      <w:r>
        <w:rPr>
          <w:rFonts w:hint="default" w:ascii="Times New Roman" w:hAnsi="Times New Roman" w:cs="Times New Roman"/>
          <w:sz w:val="24"/>
          <w:szCs w:val="24"/>
        </w:rPr>
        <w:t xml:space="preserve"> CULTURAL das obrigações previstas na CLÁUSULA 6.2.</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6.2 São obrigações do</w:t>
      </w:r>
      <w:r>
        <w:rPr>
          <w:rFonts w:hint="default" w:ascii="Times New Roman" w:hAnsi="Times New Roman" w:cs="Times New Roman"/>
          <w:sz w:val="24"/>
          <w:szCs w:val="24"/>
          <w:lang w:val="pt-BR"/>
        </w:rPr>
        <w:t xml:space="preserve"> GRUPO</w:t>
      </w:r>
      <w:r>
        <w:rPr>
          <w:rFonts w:hint="default" w:ascii="Times New Roman" w:hAnsi="Times New Roman" w:cs="Times New Roman"/>
          <w:sz w:val="24"/>
          <w:szCs w:val="24"/>
        </w:rPr>
        <w:t xml:space="preserve"> CULTURAL: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I) executar a ação cultural aprovada;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II) aplicar os recursos concedidos na realização da ação cultural;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III) manter, obrigatória e exclusivamente, os recursos financeiros depositados na conta especialmente aberta para o Termo de Execução Cultural;</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IV) facilitar o monitoramento, o controle e supervisão do termo de execução cultural bem como o acesso ao local de realização da ação cultural;</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V) prestar informações </w:t>
      </w:r>
      <w:r>
        <w:rPr>
          <w:rFonts w:hint="default" w:ascii="Times New Roman" w:hAnsi="Times New Roman" w:cs="Times New Roman"/>
          <w:sz w:val="24"/>
          <w:szCs w:val="24"/>
          <w:lang w:val="pt-BR"/>
        </w:rPr>
        <w:t xml:space="preserve">ao Município de Santo Cristo </w:t>
      </w:r>
      <w:r>
        <w:rPr>
          <w:rFonts w:hint="default" w:ascii="Times New Roman" w:hAnsi="Times New Roman" w:cs="Times New Roman"/>
          <w:sz w:val="24"/>
          <w:szCs w:val="24"/>
        </w:rPr>
        <w:t xml:space="preserve">por meio de Relatório de Execução do Objeto, apresentado no prazo máximo de </w:t>
      </w:r>
      <w:r>
        <w:rPr>
          <w:rFonts w:hint="default" w:ascii="Times New Roman" w:hAnsi="Times New Roman" w:cs="Times New Roman"/>
          <w:sz w:val="24"/>
          <w:szCs w:val="24"/>
          <w:lang w:val="pt-BR"/>
        </w:rPr>
        <w:t xml:space="preserve">30 dias </w:t>
      </w:r>
      <w:r>
        <w:rPr>
          <w:rFonts w:hint="default" w:ascii="Times New Roman" w:hAnsi="Times New Roman" w:cs="Times New Roman"/>
          <w:sz w:val="24"/>
          <w:szCs w:val="24"/>
        </w:rPr>
        <w:t>contados do término da vigência do termo de execução cultural;</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VI) atender a qualquer solicitação regular feita pelo</w:t>
      </w:r>
      <w:r>
        <w:rPr>
          <w:rFonts w:hint="default" w:ascii="Times New Roman" w:hAnsi="Times New Roman" w:cs="Times New Roman"/>
          <w:sz w:val="24"/>
          <w:szCs w:val="24"/>
          <w:lang w:val="pt-BR"/>
        </w:rPr>
        <w:t xml:space="preserve"> Município de Santo Cristo </w:t>
      </w:r>
      <w:r>
        <w:rPr>
          <w:rFonts w:hint="default" w:ascii="Times New Roman" w:hAnsi="Times New Roman" w:cs="Times New Roman"/>
          <w:sz w:val="24"/>
          <w:szCs w:val="24"/>
        </w:rPr>
        <w:t xml:space="preserve">a contar do recebimento da notificação;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VIII) não realizar despesa em data anterior ou posterior à vigência deste termo de execução cultural;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IX) guardar a documentação referente à prestação de informações e financeira pelo prazo de 5 anos, contados do fim da vigência deste Termo de Execução Cultural;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X) não utilizar os recursos para finalidade diversa da estabelecida no projeto cultural;</w:t>
      </w:r>
    </w:p>
    <w:p>
      <w:pPr>
        <w:spacing w:after="100"/>
        <w:ind w:left="100"/>
        <w:jc w:val="both"/>
        <w:rPr>
          <w:rFonts w:hint="default" w:ascii="Times New Roman" w:hAnsi="Times New Roman" w:cs="Times New Roman"/>
          <w:color w:val="FF0000"/>
          <w:sz w:val="24"/>
          <w:szCs w:val="24"/>
        </w:rPr>
      </w:pPr>
      <w:r>
        <w:rPr>
          <w:rFonts w:hint="default" w:ascii="Times New Roman" w:hAnsi="Times New Roman" w:cs="Times New Roman"/>
          <w:sz w:val="24"/>
          <w:szCs w:val="24"/>
        </w:rPr>
        <w:t xml:space="preserve">XI) encaminhar os documentos do novo dirigente, bem como nova ata de eleição ou termo de posse, em caso de falecimento ou substituição de dirigente da entidade cultural, caso seja agente cultural pessoa jurídica. </w:t>
      </w:r>
    </w:p>
    <w:p>
      <w:pPr>
        <w:spacing w:after="100"/>
        <w:ind w:left="10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7. PRESTAÇÃO DE INFORMAÇÕES EM RELATÓRIO DE EXECUÇÃO DO OBJETO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7.1 O </w:t>
      </w:r>
      <w:r>
        <w:rPr>
          <w:rFonts w:hint="default" w:ascii="Times New Roman" w:hAnsi="Times New Roman" w:cs="Times New Roman"/>
          <w:sz w:val="24"/>
          <w:szCs w:val="24"/>
          <w:lang w:val="pt-BR"/>
        </w:rPr>
        <w:t>grupo</w:t>
      </w:r>
      <w:r>
        <w:rPr>
          <w:rFonts w:hint="default" w:ascii="Times New Roman" w:hAnsi="Times New Roman" w:cs="Times New Roman"/>
          <w:sz w:val="24"/>
          <w:szCs w:val="24"/>
        </w:rPr>
        <w:t xml:space="preserve"> cultural prestará contas à administração pública por meio da apresentação de Relatório de Objeto da Execução Cultural, no prazo de até</w:t>
      </w:r>
      <w:r>
        <w:rPr>
          <w:rFonts w:hint="default" w:ascii="Times New Roman" w:hAnsi="Times New Roman" w:cs="Times New Roman"/>
          <w:sz w:val="24"/>
          <w:szCs w:val="24"/>
          <w:lang w:val="pt-BR"/>
        </w:rPr>
        <w:t xml:space="preserve"> 30 dias</w:t>
      </w:r>
      <w:r>
        <w:rPr>
          <w:rFonts w:hint="default" w:ascii="Times New Roman" w:hAnsi="Times New Roman" w:cs="Times New Roman"/>
          <w:sz w:val="24"/>
          <w:szCs w:val="24"/>
        </w:rPr>
        <w:t xml:space="preserve"> a contar do fim da vigência deste Termo de Execução Cultural.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7.1.1 O Relatório de Objeto da Execução Cultural deverá:</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 - comprovar que foram alcançados os resultados da ação cultural;</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II - conter a descrição das ações desenvolvidas para o cumprimento do objeto;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7.2 O agente público responsável pela análise do Relatório de Objeto da Execução Cultural deverá elaborar parecer técnico em que concluirá:</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 - pelo cumprimento integral do objeto ou pela suficiência do cumprimento parcial devidamente justificada e providenciará imediato encaminhamento do processo à autoridade julgadora;</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II - pela necessidade de o </w:t>
      </w:r>
      <w:r>
        <w:rPr>
          <w:rFonts w:hint="default" w:ascii="Times New Roman" w:hAnsi="Times New Roman" w:cs="Times New Roman"/>
          <w:sz w:val="24"/>
          <w:szCs w:val="24"/>
          <w:lang w:val="pt-BR"/>
        </w:rPr>
        <w:t>grupo</w:t>
      </w:r>
      <w:r>
        <w:rPr>
          <w:rFonts w:hint="default" w:ascii="Times New Roman" w:hAnsi="Times New Roman" w:cs="Times New Roman"/>
          <w:sz w:val="24"/>
          <w:szCs w:val="24"/>
        </w:rPr>
        <w:t xml:space="preserve"> cultural apresentar documentação complementar relativa ao cumprimento do objeto;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III - pela necessidade de</w:t>
      </w:r>
      <w:r>
        <w:rPr>
          <w:rFonts w:hint="default" w:ascii="Times New Roman" w:hAnsi="Times New Roman" w:cs="Times New Roman"/>
          <w:sz w:val="24"/>
          <w:szCs w:val="24"/>
          <w:lang w:val="pt-BR"/>
        </w:rPr>
        <w:t xml:space="preserve"> o grupo</w:t>
      </w:r>
      <w:r>
        <w:rPr>
          <w:rFonts w:hint="default" w:ascii="Times New Roman" w:hAnsi="Times New Roman" w:cs="Times New Roman"/>
          <w:sz w:val="24"/>
          <w:szCs w:val="24"/>
        </w:rPr>
        <w:t xml:space="preserv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7.3 Após o recebimento do processo pelo agente público de que trata o item 7.2, autoridade responsável pelo julgamento da prestação de informações poderá:</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I - solicitar documentação complementar;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II - aprovar sem ressalvas a prestação de contas, quando estiver convencida do cumprimento integral do objeto;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III - aprovar com ressalvas a prestação de contas, quando for comprovada a realização da ação cultural, mas verificada inadequação na execução do objeto ou na execução financeira, sem má-fé;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IV - rejeitar a prestação de contas, total ou parcialmente, e determinar uma das seguintes medidas: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a) devolução de recursos em valor proporcional à inexecução de objeto verificada;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b) pagamento de multa, nos termos do regulamento;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c) suspensão da possibilidade de celebrar novo instrumento do regime próprio de fomento à cultura pelo prazo de 180 (cento e oitenta) a 540 (quinhentos e quarenta) dias.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7.4 O Relatório Financeiro da Execução Cultural será exigido, independente da modalidade inicial de prestação de informações (in loco ou em relatório de execução do objeto), somente nas seguintes hipóteses: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 - quando não estiver comprovado o cumprimento do objeto, observados os procedimentos previstos nos itens anteriores; ou</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II - quando for recebida, pela administração pública, denúncia de irregularidade na execução da ação cultural, mediante juízo de admissibilidade que avaliará os elementos fáticos apresentados.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7.4.1 O prazo para apresentação do Relatório Financeiro da Execução Cultural será de </w:t>
      </w:r>
      <w:r>
        <w:rPr>
          <w:rFonts w:hint="default" w:ascii="Times New Roman" w:hAnsi="Times New Roman" w:cs="Times New Roman"/>
          <w:sz w:val="24"/>
          <w:szCs w:val="24"/>
          <w:lang w:val="pt-BR"/>
        </w:rPr>
        <w:t>30</w:t>
      </w:r>
      <w:r>
        <w:rPr>
          <w:rFonts w:hint="default" w:ascii="Times New Roman" w:hAnsi="Times New Roman" w:cs="Times New Roman"/>
          <w:sz w:val="24"/>
          <w:szCs w:val="24"/>
        </w:rPr>
        <w:t xml:space="preserve"> dias contados do recebimento da notificação.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7.5 Na hipótese de o julgamento da prestação de informações apontar a necessidade de devolução de recursos, o </w:t>
      </w:r>
      <w:r>
        <w:rPr>
          <w:rFonts w:hint="default" w:ascii="Times New Roman" w:hAnsi="Times New Roman" w:cs="Times New Roman"/>
          <w:sz w:val="24"/>
          <w:szCs w:val="24"/>
          <w:lang w:val="pt-BR"/>
        </w:rPr>
        <w:t>grupo</w:t>
      </w:r>
      <w:r>
        <w:rPr>
          <w:rFonts w:hint="default" w:ascii="Times New Roman" w:hAnsi="Times New Roman" w:cs="Times New Roman"/>
          <w:sz w:val="24"/>
          <w:szCs w:val="24"/>
        </w:rPr>
        <w:t xml:space="preserve"> cultural será notificado para que exerça a opção por:</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 - devolução parcial ou integral dos recursos ao erário;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II - apresentação de plano de ações compensatórias; ou</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III - devolução parcial dos recursos ao erário juntamente com a apresentação de plano de ações compensatórias.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7.5.1 A ocorrência de caso fortuito ou força maior impeditiva da execução do instrumento afasta a reprovação da prestação de informações, desde que comprovada.</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7.5.2 Nos casos em que estiver caracterizada má-fé do </w:t>
      </w:r>
      <w:r>
        <w:rPr>
          <w:rFonts w:hint="default" w:ascii="Times New Roman" w:hAnsi="Times New Roman" w:cs="Times New Roman"/>
          <w:sz w:val="24"/>
          <w:szCs w:val="24"/>
          <w:lang w:val="pt-BR"/>
        </w:rPr>
        <w:t>grupo</w:t>
      </w:r>
      <w:r>
        <w:rPr>
          <w:rFonts w:hint="default" w:ascii="Times New Roman" w:hAnsi="Times New Roman" w:cs="Times New Roman"/>
          <w:sz w:val="24"/>
          <w:szCs w:val="24"/>
        </w:rPr>
        <w:t xml:space="preserve"> cultural, será imediatamente exigida a devolução de recursos ao erário, vedada a aceitação de plano de ações compensatórias.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7.5.3 Nos casos em que houver exigência de devolução de recursos ao erário, o </w:t>
      </w:r>
      <w:r>
        <w:rPr>
          <w:rFonts w:hint="default" w:ascii="Times New Roman" w:hAnsi="Times New Roman" w:cs="Times New Roman"/>
          <w:sz w:val="24"/>
          <w:szCs w:val="24"/>
          <w:lang w:val="pt-BR"/>
        </w:rPr>
        <w:t>grupo</w:t>
      </w:r>
      <w:r>
        <w:rPr>
          <w:rFonts w:hint="default" w:ascii="Times New Roman" w:hAnsi="Times New Roman" w:cs="Times New Roman"/>
          <w:sz w:val="24"/>
          <w:szCs w:val="24"/>
        </w:rPr>
        <w:t xml:space="preserve"> cultural poderá solicitar o parcelamento do débito, na forma e nas condições previstas na legislação.</w:t>
      </w:r>
    </w:p>
    <w:p>
      <w:pPr>
        <w:spacing w:after="100"/>
        <w:ind w:left="100"/>
        <w:jc w:val="both"/>
        <w:rPr>
          <w:rFonts w:hint="default" w:ascii="Times New Roman" w:hAnsi="Times New Roman" w:cs="Times New Roman"/>
          <w:sz w:val="24"/>
          <w:szCs w:val="24"/>
        </w:rPr>
      </w:pP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8. ALTERAÇÃO DO TERMO DE EXECUÇÃO CULTURAL</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8.1 A alteração do termo de execução cultural será formalizada por meio de termo aditivo.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8.2 A formalização de termo aditivo não será necessária nas seguintes hipóteses: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 - prorrogação de vigência realizada de ofício pela administração pública quando der causa ao atraso na liberação de recursos; e</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II - alteração do projeto sem modificação do valor global do instrumento e sem modificação substancial do objeto.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8.3 Na hipótese de prorrogação de vigência, o saldo de recursos será automaticamente mantido na conta a fim de viabilizar a continuidade da execução do objeto.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8.4 As alterações do projeto cujo escopo seja de, no máximo, 20% do valor total poderão ser realizadas pelo </w:t>
      </w:r>
      <w:r>
        <w:rPr>
          <w:rFonts w:hint="default" w:ascii="Times New Roman" w:hAnsi="Times New Roman" w:cs="Times New Roman"/>
          <w:sz w:val="24"/>
          <w:szCs w:val="24"/>
          <w:lang w:val="pt-BR"/>
        </w:rPr>
        <w:t>grupo</w:t>
      </w:r>
      <w:r>
        <w:rPr>
          <w:rFonts w:hint="default" w:ascii="Times New Roman" w:hAnsi="Times New Roman" w:cs="Times New Roman"/>
          <w:sz w:val="24"/>
          <w:szCs w:val="24"/>
        </w:rPr>
        <w:t xml:space="preserve"> cultural e comunicadas à administração pública em seguida, sem a necessidade de autorização prévia.</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8.5 A aplicação de rendimentos de ativos financeiros em benefício do objeto do termo de execução cultural poderá ser realizada pelo </w:t>
      </w:r>
      <w:r>
        <w:rPr>
          <w:rFonts w:hint="default" w:ascii="Times New Roman" w:hAnsi="Times New Roman" w:cs="Times New Roman"/>
          <w:sz w:val="24"/>
          <w:szCs w:val="24"/>
          <w:lang w:val="pt-BR"/>
        </w:rPr>
        <w:t>grupo</w:t>
      </w:r>
      <w:r>
        <w:rPr>
          <w:rFonts w:hint="default" w:ascii="Times New Roman" w:hAnsi="Times New Roman" w:cs="Times New Roman"/>
          <w:sz w:val="24"/>
          <w:szCs w:val="24"/>
        </w:rPr>
        <w:t xml:space="preserve"> cultural sem a necessidade de autorização prévia da administração pública.</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8.6 Nas hipóteses de alterações em que não seja necessário termo aditivo, poderá ser realizado apostilamento.</w:t>
      </w:r>
    </w:p>
    <w:p>
      <w:pPr>
        <w:spacing w:after="100"/>
        <w:ind w:left="100"/>
        <w:jc w:val="both"/>
        <w:rPr>
          <w:rFonts w:hint="default" w:ascii="Times New Roman" w:hAnsi="Times New Roman" w:cs="Times New Roman"/>
          <w:sz w:val="24"/>
          <w:szCs w:val="24"/>
        </w:rPr>
      </w:pP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9. TITULARIDADE DE BENS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9.1 Os bens permanentes adquiridos, produzidos ou transformados em decorrência da execução da ação cultural fomentada serão de titularidade do </w:t>
      </w:r>
      <w:r>
        <w:rPr>
          <w:rFonts w:hint="default" w:ascii="Times New Roman" w:hAnsi="Times New Roman" w:cs="Times New Roman"/>
          <w:sz w:val="24"/>
          <w:szCs w:val="24"/>
          <w:lang w:val="pt-BR"/>
        </w:rPr>
        <w:t>grupo</w:t>
      </w:r>
      <w:r>
        <w:rPr>
          <w:rFonts w:hint="default" w:ascii="Times New Roman" w:hAnsi="Times New Roman" w:cs="Times New Roman"/>
          <w:sz w:val="24"/>
          <w:szCs w:val="24"/>
        </w:rPr>
        <w:t xml:space="preserve"> cultural desde a data da sua aquisição.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9.2 Nos casos de rejeição da prestação de contas em razão da aquisição ou do uso do bem, o valor pago pela aquisição será computado no cálculo de valores a devolver, com atualização monetária.</w:t>
      </w:r>
    </w:p>
    <w:p>
      <w:pPr>
        <w:spacing w:after="100"/>
        <w:ind w:left="100"/>
        <w:jc w:val="both"/>
        <w:rPr>
          <w:rFonts w:hint="default" w:ascii="Times New Roman" w:hAnsi="Times New Roman" w:cs="Times New Roman"/>
          <w:sz w:val="24"/>
          <w:szCs w:val="24"/>
        </w:rPr>
      </w:pP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10. EXTINÇÃO DO TERMO DE EXECUÇÃO CULTURAL</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10.1 O presente Termo de Execução Cultural poderá ser:</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 - extinto por decurso de prazo;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II - extinto, de comum acordo antes do prazo avençado, mediante Termo de Distrato;</w:t>
      </w:r>
    </w:p>
    <w:p>
      <w:pPr>
        <w:spacing w:after="100"/>
        <w:ind w:left="100"/>
        <w:jc w:val="both"/>
        <w:rPr>
          <w:rFonts w:hint="default" w:ascii="Times New Roman" w:hAnsi="Times New Roman" w:cs="Times New Roman" w:eastAsiaTheme="minorHAnsi"/>
          <w:sz w:val="24"/>
          <w:szCs w:val="24"/>
        </w:rPr>
      </w:pPr>
      <w:r>
        <w:rPr>
          <w:rFonts w:hint="default" w:ascii="Times New Roman" w:hAnsi="Times New Roman" w:cs="Times New Roman"/>
          <w:sz w:val="24"/>
          <w:szCs w:val="24"/>
        </w:rPr>
        <w:t xml:space="preserve">III - </w:t>
      </w:r>
      <w:r>
        <w:rPr>
          <w:rFonts w:hint="default" w:ascii="Times New Roman" w:hAnsi="Times New Roman" w:cs="Times New Roman" w:eastAsiaTheme="minorHAnsi"/>
          <w:sz w:val="24"/>
          <w:szCs w:val="24"/>
        </w:rPr>
        <w:t>denunciado, por decisão unilateral de qualquer dos partícipes, independentemente de autorização judicial, mediante prévia notificação por escrito ao outro partícipe; ou</w:t>
      </w:r>
    </w:p>
    <w:p>
      <w:pPr>
        <w:spacing w:after="100"/>
        <w:ind w:left="100"/>
        <w:jc w:val="both"/>
        <w:rPr>
          <w:rFonts w:hint="default" w:ascii="Times New Roman" w:hAnsi="Times New Roman" w:cs="Times New Roman" w:eastAsiaTheme="minorHAnsi"/>
          <w:sz w:val="24"/>
          <w:szCs w:val="24"/>
        </w:rPr>
      </w:pPr>
      <w:r>
        <w:rPr>
          <w:rFonts w:hint="default" w:ascii="Times New Roman" w:hAnsi="Times New Roman" w:cs="Times New Roman"/>
          <w:sz w:val="24"/>
          <w:szCs w:val="24"/>
        </w:rPr>
        <w:t>IV -</w:t>
      </w:r>
      <w:r>
        <w:rPr>
          <w:rFonts w:hint="default" w:ascii="Times New Roman" w:hAnsi="Times New Roman" w:cs="Times New Roman" w:eastAsiaTheme="minorHAnsi"/>
          <w:sz w:val="24"/>
          <w:szCs w:val="24"/>
        </w:rPr>
        <w:t xml:space="preserve"> rescindido, por decisão unilateral de qualquer dos partícipes, independentemente de autorização judicial, mediante prévia notificação por escrito ao outro partícipe, nas seguintes hipóteses: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a) descumprimento injustificado de cláusula deste instrumento;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b) irregularidade ou inexecução injustificada, ainda que parcial, do objeto, resultados ou metas pactuadas;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c) violação da legislação aplicável;</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d) cometimento de falhas reiteradas na execução;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e) má administração de recursos públicos;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f) constatação de falsidade ou fraude nas informações ou documentos apresentados;</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g) não atendimento às recomendações ou determinações decorrentes da fiscalização;</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h) outras hipóteses expressamente previstas na legislação aplicável.</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10.3 Na hipótese de irregularidade na execução do objeto que enseje dano ao erário, deverá ser instaurada Tomada de Contas Especial caso os valores relacionados à irregularidade não sejam devolvidos no prazo estabelecido pela Administração Pública.</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 xml:space="preserve">10.4 Outras situações relativas à extinção deste Termo não previstas na legislação aplicável ou neste instrumento poderão ser negociadas entre as partes ou, se for o caso, no Termo de Distrato.  </w:t>
      </w:r>
    </w:p>
    <w:p>
      <w:pPr>
        <w:spacing w:after="100"/>
        <w:ind w:left="100"/>
        <w:jc w:val="both"/>
        <w:rPr>
          <w:rFonts w:hint="default" w:ascii="Times New Roman" w:hAnsi="Times New Roman" w:cs="Times New Roman"/>
          <w:sz w:val="24"/>
          <w:szCs w:val="24"/>
        </w:rPr>
      </w:pP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11. MONITORAMENTO E CONTROLE DE RESULTADOS </w:t>
      </w:r>
    </w:p>
    <w:p>
      <w:pPr>
        <w:spacing w:after="100"/>
        <w:ind w:left="100"/>
        <w:jc w:val="both"/>
        <w:rPr>
          <w:rFonts w:hint="default" w:ascii="Times New Roman" w:hAnsi="Times New Roman" w:cs="Times New Roman"/>
          <w:sz w:val="24"/>
          <w:szCs w:val="24"/>
          <w:lang w:val="pt-BR"/>
        </w:rPr>
      </w:pPr>
      <w:r>
        <w:rPr>
          <w:rFonts w:hint="default" w:ascii="Times New Roman" w:hAnsi="Times New Roman" w:cs="Times New Roman"/>
          <w:sz w:val="24"/>
          <w:szCs w:val="24"/>
        </w:rPr>
        <w:t>11.1</w:t>
      </w:r>
      <w:r>
        <w:rPr>
          <w:rFonts w:hint="default" w:ascii="Times New Roman" w:hAnsi="Times New Roman" w:cs="Times New Roman"/>
          <w:sz w:val="24"/>
          <w:szCs w:val="24"/>
          <w:lang w:val="pt-BR"/>
        </w:rPr>
        <w:t xml:space="preserve"> O monitoramento das ações será realizado pela Diretoria do Patrimônio Histórico, Artístico e Cultural, podendo ocorrer por meio e comissão específica, análise de relatórios, visitas técnicas e demais instrumentos.</w:t>
      </w:r>
    </w:p>
    <w:p>
      <w:pPr>
        <w:spacing w:after="100"/>
        <w:ind w:left="100"/>
        <w:jc w:val="both"/>
        <w:rPr>
          <w:rFonts w:hint="default" w:ascii="Times New Roman" w:hAnsi="Times New Roman" w:cs="Times New Roman"/>
          <w:sz w:val="24"/>
          <w:szCs w:val="24"/>
          <w:lang w:val="pt-BR"/>
        </w:rPr>
      </w:pP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12. VIGÊNCIA </w:t>
      </w:r>
    </w:p>
    <w:p>
      <w:pPr>
        <w:spacing w:after="100"/>
        <w:ind w:left="100"/>
        <w:jc w:val="both"/>
        <w:rPr>
          <w:rFonts w:hint="default" w:ascii="Times New Roman" w:hAnsi="Times New Roman" w:cs="Times New Roman"/>
          <w:color w:val="auto"/>
          <w:sz w:val="24"/>
          <w:szCs w:val="24"/>
          <w:lang w:val="pt-BR"/>
        </w:rPr>
      </w:pPr>
      <w:r>
        <w:rPr>
          <w:rFonts w:hint="default" w:ascii="Times New Roman" w:hAnsi="Times New Roman" w:cs="Times New Roman"/>
          <w:sz w:val="24"/>
          <w:szCs w:val="24"/>
        </w:rPr>
        <w:t xml:space="preserve">12.1 A vigência deste instrumento terá início na data de assinatura das partes, com duração </w:t>
      </w:r>
      <w:r>
        <w:rPr>
          <w:rFonts w:hint="default" w:ascii="Times New Roman" w:hAnsi="Times New Roman" w:cs="Times New Roman"/>
          <w:sz w:val="24"/>
          <w:szCs w:val="24"/>
          <w:lang w:val="pt-BR"/>
        </w:rPr>
        <w:t xml:space="preserve">até o dia </w:t>
      </w:r>
      <w:r>
        <w:rPr>
          <w:rFonts w:hint="default" w:ascii="Times New Roman" w:hAnsi="Times New Roman" w:cs="Times New Roman"/>
          <w:color w:val="auto"/>
          <w:sz w:val="24"/>
          <w:szCs w:val="24"/>
          <w:lang w:val="pt-BR"/>
        </w:rPr>
        <w:t>30 de novembro.</w:t>
      </w:r>
    </w:p>
    <w:p>
      <w:pPr>
        <w:spacing w:after="100"/>
        <w:ind w:left="100"/>
        <w:jc w:val="both"/>
        <w:rPr>
          <w:rFonts w:hint="default" w:ascii="Times New Roman" w:hAnsi="Times New Roman" w:cs="Times New Roman"/>
          <w:color w:val="auto"/>
          <w:sz w:val="24"/>
          <w:szCs w:val="24"/>
          <w:lang w:val="pt-BR"/>
        </w:rPr>
      </w:pP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13. PUBLICAÇÃO </w:t>
      </w:r>
    </w:p>
    <w:p>
      <w:pPr>
        <w:spacing w:after="100"/>
        <w:ind w:left="100"/>
        <w:jc w:val="both"/>
        <w:rPr>
          <w:rFonts w:hint="default" w:ascii="Times New Roman" w:hAnsi="Times New Roman" w:cs="Times New Roman"/>
          <w:sz w:val="24"/>
          <w:szCs w:val="24"/>
          <w:lang w:val="pt-BR"/>
        </w:rPr>
      </w:pPr>
      <w:r>
        <w:rPr>
          <w:rFonts w:hint="default" w:ascii="Times New Roman" w:hAnsi="Times New Roman" w:cs="Times New Roman"/>
          <w:sz w:val="24"/>
          <w:szCs w:val="24"/>
        </w:rPr>
        <w:t>13.1 O Extrato do Termo de Execução Cultural será publicado</w:t>
      </w:r>
      <w:r>
        <w:rPr>
          <w:rFonts w:hint="default" w:ascii="Times New Roman" w:hAnsi="Times New Roman" w:cs="Times New Roman"/>
          <w:sz w:val="24"/>
          <w:szCs w:val="24"/>
          <w:lang w:val="pt-BR"/>
        </w:rPr>
        <w:t xml:space="preserve"> site oficial do Município de Santo Cristo.</w:t>
      </w:r>
    </w:p>
    <w:p>
      <w:pPr>
        <w:spacing w:after="100"/>
        <w:ind w:left="100"/>
        <w:jc w:val="both"/>
        <w:rPr>
          <w:rFonts w:hint="default" w:ascii="Times New Roman" w:hAnsi="Times New Roman" w:cs="Times New Roman"/>
          <w:sz w:val="24"/>
          <w:szCs w:val="24"/>
          <w:lang w:val="pt-BR"/>
        </w:rPr>
      </w:pPr>
    </w:p>
    <w:p>
      <w:pPr>
        <w:spacing w:after="100"/>
        <w:ind w:left="100"/>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14. FORO </w:t>
      </w:r>
    </w:p>
    <w:p>
      <w:pPr>
        <w:spacing w:after="100"/>
        <w:ind w:left="100"/>
        <w:jc w:val="both"/>
        <w:rPr>
          <w:rFonts w:hint="default" w:ascii="Times New Roman" w:hAnsi="Times New Roman" w:cs="Times New Roman"/>
          <w:sz w:val="24"/>
          <w:szCs w:val="24"/>
        </w:rPr>
      </w:pPr>
      <w:r>
        <w:rPr>
          <w:rFonts w:hint="default" w:ascii="Times New Roman" w:hAnsi="Times New Roman" w:cs="Times New Roman"/>
          <w:sz w:val="24"/>
          <w:szCs w:val="24"/>
        </w:rPr>
        <w:t>14.1 Fica eleito o Foro de</w:t>
      </w:r>
      <w:r>
        <w:rPr>
          <w:rFonts w:hint="default" w:ascii="Times New Roman" w:hAnsi="Times New Roman" w:cs="Times New Roman"/>
          <w:sz w:val="24"/>
          <w:szCs w:val="24"/>
          <w:lang w:val="pt-BR"/>
        </w:rPr>
        <w:t xml:space="preserve"> Santo Cristo </w:t>
      </w:r>
      <w:r>
        <w:rPr>
          <w:rFonts w:hint="default" w:ascii="Times New Roman" w:hAnsi="Times New Roman" w:cs="Times New Roman"/>
          <w:sz w:val="24"/>
          <w:szCs w:val="24"/>
        </w:rPr>
        <w:t>para dirimir quaisquer dúvidas relativas ao presente Termo de Execução Cultural.</w:t>
      </w:r>
    </w:p>
    <w:p>
      <w:pPr>
        <w:spacing w:after="100"/>
        <w:ind w:left="100"/>
        <w:jc w:val="both"/>
        <w:rPr>
          <w:rFonts w:hint="default" w:ascii="Times New Roman" w:hAnsi="Times New Roman" w:cs="Times New Roman"/>
          <w:sz w:val="24"/>
          <w:szCs w:val="24"/>
        </w:rPr>
      </w:pPr>
    </w:p>
    <w:p>
      <w:pPr>
        <w:spacing w:after="100"/>
        <w:ind w:left="100"/>
        <w:jc w:val="center"/>
        <w:rPr>
          <w:rFonts w:hint="default" w:ascii="Times New Roman" w:hAnsi="Times New Roman" w:cs="Times New Roman"/>
          <w:sz w:val="24"/>
          <w:szCs w:val="24"/>
          <w:lang w:val="pt-BR"/>
        </w:rPr>
      </w:pPr>
      <w:r>
        <w:rPr>
          <w:rFonts w:hint="default" w:ascii="Times New Roman" w:hAnsi="Times New Roman" w:cs="Times New Roman"/>
          <w:sz w:val="24"/>
          <w:szCs w:val="24"/>
          <w:lang w:val="pt-BR"/>
        </w:rPr>
        <w:t xml:space="preserve">Santo Cristo,   de              </w:t>
      </w:r>
      <w:bookmarkStart w:id="0" w:name="_GoBack"/>
      <w:bookmarkEnd w:id="0"/>
      <w:r>
        <w:rPr>
          <w:rFonts w:hint="default" w:ascii="Times New Roman" w:hAnsi="Times New Roman" w:cs="Times New Roman"/>
          <w:sz w:val="24"/>
          <w:szCs w:val="24"/>
          <w:lang w:val="pt-BR"/>
        </w:rPr>
        <w:t>de 2026</w:t>
      </w:r>
    </w:p>
    <w:p>
      <w:pPr>
        <w:spacing w:after="10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p>
    <w:p>
      <w:pPr>
        <w:spacing w:after="100"/>
        <w:jc w:val="center"/>
        <w:rPr>
          <w:rFonts w:hint="default" w:ascii="Times New Roman" w:hAnsi="Times New Roman" w:cs="Times New Roman"/>
          <w:sz w:val="24"/>
          <w:szCs w:val="24"/>
        </w:rPr>
      </w:pPr>
      <w:r>
        <w:rPr>
          <w:rFonts w:hint="default" w:ascii="Times New Roman" w:hAnsi="Times New Roman" w:cs="Times New Roman"/>
          <w:sz w:val="24"/>
          <w:szCs w:val="24"/>
        </w:rPr>
        <w:t>Pelo órgão:</w:t>
      </w:r>
    </w:p>
    <w:p>
      <w:pPr>
        <w:spacing w:after="100"/>
        <w:jc w:val="center"/>
        <w:rPr>
          <w:rFonts w:hint="default" w:ascii="Times New Roman" w:hAnsi="Times New Roman" w:cs="Times New Roman"/>
          <w:sz w:val="24"/>
          <w:szCs w:val="24"/>
        </w:rPr>
      </w:pPr>
      <w:r>
        <w:rPr>
          <w:rFonts w:hint="default" w:ascii="Times New Roman" w:hAnsi="Times New Roman" w:cs="Times New Roman"/>
          <w:sz w:val="24"/>
          <w:szCs w:val="24"/>
        </w:rPr>
        <w:t>[NOME DO REPRESENTANTE]</w:t>
      </w:r>
    </w:p>
    <w:p>
      <w:pPr>
        <w:rPr>
          <w:rFonts w:hint="default" w:ascii="Times New Roman" w:hAnsi="Times New Roman" w:cs="Times New Roman"/>
          <w:sz w:val="24"/>
          <w:szCs w:val="24"/>
        </w:rPr>
      </w:pPr>
    </w:p>
    <w:p>
      <w:pPr>
        <w:spacing w:after="10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Pelo </w:t>
      </w:r>
      <w:r>
        <w:rPr>
          <w:rFonts w:hint="default" w:ascii="Times New Roman" w:hAnsi="Times New Roman" w:cs="Times New Roman"/>
          <w:sz w:val="24"/>
          <w:szCs w:val="24"/>
          <w:lang w:val="pt-BR"/>
        </w:rPr>
        <w:t>Grupo</w:t>
      </w:r>
      <w:r>
        <w:rPr>
          <w:rFonts w:hint="default" w:ascii="Times New Roman" w:hAnsi="Times New Roman" w:cs="Times New Roman"/>
          <w:sz w:val="24"/>
          <w:szCs w:val="24"/>
        </w:rPr>
        <w:t xml:space="preserve"> Cultural:</w:t>
      </w:r>
    </w:p>
    <w:p>
      <w:pPr>
        <w:spacing w:after="10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[NOME DO </w:t>
      </w:r>
      <w:r>
        <w:rPr>
          <w:rFonts w:hint="default" w:ascii="Times New Roman" w:hAnsi="Times New Roman" w:cs="Times New Roman"/>
          <w:sz w:val="24"/>
          <w:szCs w:val="24"/>
          <w:lang w:val="pt-BR"/>
        </w:rPr>
        <w:t xml:space="preserve">REPRESENTANTE </w:t>
      </w:r>
      <w:r>
        <w:rPr>
          <w:rFonts w:hint="default" w:ascii="Times New Roman" w:hAnsi="Times New Roman" w:cs="Times New Roman"/>
          <w:sz w:val="24"/>
          <w:szCs w:val="24"/>
        </w:rPr>
        <w:t>L</w:t>
      </w:r>
      <w:r>
        <w:rPr>
          <w:rFonts w:hint="default" w:ascii="Times New Roman" w:hAnsi="Times New Roman" w:cs="Times New Roman"/>
          <w:sz w:val="24"/>
          <w:szCs w:val="24"/>
          <w:lang w:val="pt-BR"/>
        </w:rPr>
        <w:t>EGAL</w:t>
      </w:r>
      <w:r>
        <w:rPr>
          <w:rFonts w:hint="default" w:ascii="Times New Roman" w:hAnsi="Times New Roman" w:cs="Times New Roman"/>
          <w:sz w:val="24"/>
          <w:szCs w:val="24"/>
        </w:rPr>
        <w:t>]</w:t>
      </w:r>
    </w:p>
    <w:sectPr>
      <w:headerReference r:id="rId5" w:type="first"/>
      <w:footerReference r:id="rId8" w:type="first"/>
      <w:headerReference r:id="rId3" w:type="default"/>
      <w:footerReference r:id="rId6" w:type="default"/>
      <w:headerReference r:id="rId4" w:type="even"/>
      <w:footerReference r:id="rId7" w:type="even"/>
      <w:pgSz w:w="11906" w:h="16838"/>
      <w:pgMar w:top="1417" w:right="1701"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Corpo">
    <w:altName w:val="Galantis"/>
    <w:panose1 w:val="00000000000000000000"/>
    <w:charset w:val="00"/>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imSun"/>
    <w:panose1 w:val="00000000000000000000"/>
    <w:charset w:val="86"/>
    <w:family w:val="auto"/>
    <w:pitch w:val="default"/>
    <w:sig w:usb0="00000000" w:usb1="00000000" w:usb2="00000000" w:usb3="00000000" w:csb0="00000000" w:csb1="00000000"/>
  </w:font>
  <w:font w:name="Aptos">
    <w:altName w:val="Liberation Mono"/>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drawing>
        <wp:anchor distT="0" distB="0" distL="114300" distR="114300" simplePos="0" relativeHeight="251659264" behindDoc="1" locked="0" layoutInCell="1" allowOverlap="1">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drawing>
        <wp:inline distT="0" distB="0" distL="0" distR="0">
          <wp:extent cx="1578610" cy="772795"/>
          <wp:effectExtent l="0" t="0" r="2540" b="8255"/>
          <wp:docPr id="16416957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95711"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78610" cy="772795"/>
                  </a:xfrm>
                  <a:prstGeom prst="rect">
                    <a:avLst/>
                  </a:prstGeom>
                  <a:noFill/>
                  <a:ln>
                    <a:noFill/>
                  </a:ln>
                </pic:spPr>
              </pic:pic>
            </a:graphicData>
          </a:graphic>
        </wp:inline>
      </w:drawing>
    </w:r>
    <w:r>
      <w:drawing>
        <wp:anchor distT="0" distB="0" distL="114300" distR="114300" simplePos="0" relativeHeight="251660288" behindDoc="0" locked="0" layoutInCell="1" allowOverlap="1">
          <wp:simplePos x="0" y="0"/>
          <wp:positionH relativeFrom="column">
            <wp:posOffset>-756285</wp:posOffset>
          </wp:positionH>
          <wp:positionV relativeFrom="paragraph">
            <wp:posOffset>-114300</wp:posOffset>
          </wp:positionV>
          <wp:extent cx="2895600" cy="598805"/>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5C"/>
    <w:rsid w:val="002655FA"/>
    <w:rsid w:val="00380194"/>
    <w:rsid w:val="003E360E"/>
    <w:rsid w:val="0042073A"/>
    <w:rsid w:val="004840B4"/>
    <w:rsid w:val="00644DE5"/>
    <w:rsid w:val="008D205C"/>
    <w:rsid w:val="00924003"/>
    <w:rsid w:val="00A6295A"/>
    <w:rsid w:val="00B83FAF"/>
    <w:rsid w:val="00C1150E"/>
    <w:rsid w:val="00D6444A"/>
    <w:rsid w:val="101B2132"/>
    <w:rsid w:val="14DE11E5"/>
    <w:rsid w:val="38755043"/>
    <w:rsid w:val="4FB1375E"/>
    <w:rsid w:val="5A4D358B"/>
    <w:rsid w:val="7D6A36C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76" w:lineRule="auto"/>
    </w:pPr>
    <w:rPr>
      <w:rFonts w:ascii="Arial" w:hAnsi="Arial" w:eastAsia="Arial" w:cs="Arial"/>
      <w:kern w:val="0"/>
      <w:sz w:val="22"/>
      <w:szCs w:val="22"/>
      <w:lang w:val="pt-BR" w:eastAsia="pt-BR" w:bidi="ar-SA"/>
      <w14:ligatures w14:val="none"/>
    </w:rPr>
  </w:style>
  <w:style w:type="paragraph" w:styleId="2">
    <w:name w:val="heading 1"/>
    <w:basedOn w:val="1"/>
    <w:next w:val="1"/>
    <w:link w:val="18"/>
    <w:qFormat/>
    <w:uiPriority w:val="9"/>
    <w:pPr>
      <w:keepNext/>
      <w:keepLines/>
      <w:spacing w:before="360" w:after="80" w:line="278" w:lineRule="auto"/>
      <w:outlineLvl w:val="0"/>
    </w:pPr>
    <w:rPr>
      <w:rFonts w:asciiTheme="majorHAnsi" w:hAnsiTheme="majorHAnsi" w:eastAsiaTheme="majorEastAsia" w:cstheme="majorBidi"/>
      <w:color w:val="104862" w:themeColor="accent1" w:themeShade="BF"/>
      <w:kern w:val="2"/>
      <w:sz w:val="40"/>
      <w:szCs w:val="40"/>
      <w:lang w:eastAsia="en-US"/>
      <w14:ligatures w14:val="standardContextual"/>
    </w:rPr>
  </w:style>
  <w:style w:type="paragraph" w:styleId="3">
    <w:name w:val="heading 2"/>
    <w:basedOn w:val="1"/>
    <w:next w:val="1"/>
    <w:link w:val="19"/>
    <w:semiHidden/>
    <w:unhideWhenUsed/>
    <w:qFormat/>
    <w:uiPriority w:val="9"/>
    <w:pPr>
      <w:keepNext/>
      <w:keepLines/>
      <w:spacing w:before="160" w:after="80" w:line="278" w:lineRule="auto"/>
      <w:outlineLvl w:val="1"/>
    </w:pPr>
    <w:rPr>
      <w:rFonts w:asciiTheme="majorHAnsi" w:hAnsiTheme="majorHAnsi" w:eastAsiaTheme="majorEastAsia" w:cstheme="majorBidi"/>
      <w:color w:val="104862" w:themeColor="accent1" w:themeShade="BF"/>
      <w:kern w:val="2"/>
      <w:sz w:val="32"/>
      <w:szCs w:val="32"/>
      <w:lang w:eastAsia="en-US"/>
      <w14:ligatures w14:val="standardContextual"/>
    </w:rPr>
  </w:style>
  <w:style w:type="paragraph" w:styleId="4">
    <w:name w:val="heading 3"/>
    <w:basedOn w:val="1"/>
    <w:next w:val="1"/>
    <w:link w:val="20"/>
    <w:semiHidden/>
    <w:unhideWhenUsed/>
    <w:qFormat/>
    <w:uiPriority w:val="9"/>
    <w:pPr>
      <w:keepNext/>
      <w:keepLines/>
      <w:spacing w:before="160" w:after="80" w:line="278" w:lineRule="auto"/>
      <w:outlineLvl w:val="2"/>
    </w:pPr>
    <w:rPr>
      <w:rFonts w:asciiTheme="minorHAnsi" w:hAnsiTheme="minorHAnsi" w:eastAsiaTheme="majorEastAsia" w:cstheme="majorBidi"/>
      <w:color w:val="104862" w:themeColor="accent1" w:themeShade="BF"/>
      <w:kern w:val="2"/>
      <w:sz w:val="28"/>
      <w:szCs w:val="28"/>
      <w:lang w:eastAsia="en-US"/>
      <w14:ligatures w14:val="standardContextual"/>
    </w:rPr>
  </w:style>
  <w:style w:type="paragraph" w:styleId="5">
    <w:name w:val="heading 4"/>
    <w:basedOn w:val="1"/>
    <w:next w:val="1"/>
    <w:link w:val="21"/>
    <w:semiHidden/>
    <w:unhideWhenUsed/>
    <w:qFormat/>
    <w:uiPriority w:val="9"/>
    <w:pPr>
      <w:keepNext/>
      <w:keepLines/>
      <w:spacing w:before="80" w:after="40" w:line="278" w:lineRule="auto"/>
      <w:outlineLvl w:val="3"/>
    </w:pPr>
    <w:rPr>
      <w:rFonts w:asciiTheme="minorHAnsi" w:hAnsiTheme="minorHAnsi" w:eastAsiaTheme="majorEastAsia" w:cstheme="majorBidi"/>
      <w:i/>
      <w:iCs/>
      <w:color w:val="104862" w:themeColor="accent1" w:themeShade="BF"/>
      <w:kern w:val="2"/>
      <w:sz w:val="24"/>
      <w:szCs w:val="24"/>
      <w:lang w:eastAsia="en-US"/>
      <w14:ligatures w14:val="standardContextual"/>
    </w:rPr>
  </w:style>
  <w:style w:type="paragraph" w:styleId="6">
    <w:name w:val="heading 5"/>
    <w:basedOn w:val="1"/>
    <w:next w:val="1"/>
    <w:link w:val="22"/>
    <w:semiHidden/>
    <w:unhideWhenUsed/>
    <w:qFormat/>
    <w:uiPriority w:val="9"/>
    <w:pPr>
      <w:keepNext/>
      <w:keepLines/>
      <w:spacing w:before="80" w:after="40" w:line="278" w:lineRule="auto"/>
      <w:outlineLvl w:val="4"/>
    </w:pPr>
    <w:rPr>
      <w:rFonts w:asciiTheme="minorHAnsi" w:hAnsiTheme="minorHAnsi" w:eastAsiaTheme="majorEastAsia" w:cstheme="majorBidi"/>
      <w:color w:val="104862" w:themeColor="accent1" w:themeShade="BF"/>
      <w:kern w:val="2"/>
      <w:sz w:val="24"/>
      <w:szCs w:val="24"/>
      <w:lang w:eastAsia="en-US"/>
      <w14:ligatures w14:val="standardContextual"/>
    </w:rPr>
  </w:style>
  <w:style w:type="paragraph" w:styleId="7">
    <w:name w:val="heading 6"/>
    <w:basedOn w:val="1"/>
    <w:next w:val="1"/>
    <w:link w:val="23"/>
    <w:semiHidden/>
    <w:unhideWhenUsed/>
    <w:qFormat/>
    <w:uiPriority w:val="9"/>
    <w:pPr>
      <w:keepNext/>
      <w:keepLines/>
      <w:spacing w:before="40" w:line="278" w:lineRule="auto"/>
      <w:outlineLvl w:val="5"/>
    </w:pPr>
    <w:rPr>
      <w:rFonts w:asciiTheme="minorHAnsi" w:hAnsiTheme="minorHAnsi" w:eastAsiaTheme="majorEastAsia" w:cstheme="majorBidi"/>
      <w:i/>
      <w:iCs/>
      <w:color w:val="595959" w:themeColor="text1" w:themeTint="A6"/>
      <w:kern w:val="2"/>
      <w:sz w:val="24"/>
      <w:szCs w:val="24"/>
      <w:lang w:eastAsia="en-US"/>
      <w14:textFill>
        <w14:solidFill>
          <w14:schemeClr w14:val="tx1">
            <w14:lumMod w14:val="65000"/>
            <w14:lumOff w14:val="35000"/>
          </w14:schemeClr>
        </w14:solidFill>
      </w14:textFill>
      <w14:ligatures w14:val="standardContextual"/>
    </w:rPr>
  </w:style>
  <w:style w:type="paragraph" w:styleId="8">
    <w:name w:val="heading 7"/>
    <w:basedOn w:val="1"/>
    <w:next w:val="1"/>
    <w:link w:val="24"/>
    <w:semiHidden/>
    <w:unhideWhenUsed/>
    <w:qFormat/>
    <w:uiPriority w:val="9"/>
    <w:pPr>
      <w:keepNext/>
      <w:keepLines/>
      <w:spacing w:before="40" w:line="278" w:lineRule="auto"/>
      <w:outlineLvl w:val="6"/>
    </w:pPr>
    <w:rPr>
      <w:rFonts w:asciiTheme="minorHAnsi" w:hAnsiTheme="minorHAnsi" w:eastAsiaTheme="majorEastAsia" w:cstheme="majorBidi"/>
      <w:color w:val="595959" w:themeColor="text1" w:themeTint="A6"/>
      <w:kern w:val="2"/>
      <w:sz w:val="24"/>
      <w:szCs w:val="24"/>
      <w:lang w:eastAsia="en-US"/>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line="278" w:lineRule="auto"/>
      <w:outlineLvl w:val="7"/>
    </w:pPr>
    <w:rPr>
      <w:rFonts w:asciiTheme="minorHAnsi" w:hAnsiTheme="minorHAnsi" w:eastAsiaTheme="majorEastAsia" w:cstheme="majorBidi"/>
      <w:i/>
      <w:iCs/>
      <w:color w:val="262626" w:themeColor="text1" w:themeTint="D9"/>
      <w:kern w:val="2"/>
      <w:sz w:val="24"/>
      <w:szCs w:val="24"/>
      <w:lang w:eastAsia="en-US"/>
      <w14:textFill>
        <w14:solidFill>
          <w14:schemeClr w14:val="tx1">
            <w14:lumMod w14:val="85000"/>
            <w14:lumOff w14:val="15000"/>
          </w14:schemeClr>
        </w14:solidFill>
      </w14:textFill>
      <w14:ligatures w14:val="standardContextual"/>
    </w:rPr>
  </w:style>
  <w:style w:type="paragraph" w:styleId="10">
    <w:name w:val="heading 9"/>
    <w:basedOn w:val="1"/>
    <w:next w:val="1"/>
    <w:link w:val="26"/>
    <w:semiHidden/>
    <w:unhideWhenUsed/>
    <w:qFormat/>
    <w:uiPriority w:val="9"/>
    <w:pPr>
      <w:keepNext/>
      <w:keepLines/>
      <w:spacing w:line="278" w:lineRule="auto"/>
      <w:outlineLvl w:val="8"/>
    </w:pPr>
    <w:rPr>
      <w:rFonts w:asciiTheme="minorHAnsi" w:hAnsiTheme="minorHAnsi" w:eastAsiaTheme="majorEastAsia" w:cstheme="majorBidi"/>
      <w:color w:val="262626" w:themeColor="text1" w:themeTint="D9"/>
      <w:kern w:val="2"/>
      <w:sz w:val="24"/>
      <w:szCs w:val="24"/>
      <w:lang w:eastAsia="en-US"/>
      <w14:textFill>
        <w14:solidFill>
          <w14:schemeClr w14:val="tx1">
            <w14:lumMod w14:val="85000"/>
            <w14:lumOff w14:val="15000"/>
          </w14:schemeClr>
        </w14:solidFill>
      </w14:textFill>
      <w14:ligatures w14:val="standardContextual"/>
    </w:rPr>
  </w:style>
  <w:style w:type="character" w:default="1" w:styleId="15">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paragraph" w:styleId="12">
    <w:name w:val="header"/>
    <w:basedOn w:val="1"/>
    <w:link w:val="36"/>
    <w:unhideWhenUsed/>
    <w:qFormat/>
    <w:uiPriority w:val="99"/>
    <w:pPr>
      <w:tabs>
        <w:tab w:val="center" w:pos="4252"/>
        <w:tab w:val="right" w:pos="8504"/>
      </w:tabs>
      <w:spacing w:line="240" w:lineRule="auto"/>
    </w:pPr>
    <w:rPr>
      <w:rFonts w:asciiTheme="minorHAnsi" w:hAnsiTheme="minorHAnsi" w:eastAsiaTheme="minorHAnsi" w:cstheme="minorBidi"/>
      <w:kern w:val="2"/>
      <w:sz w:val="24"/>
      <w:szCs w:val="24"/>
      <w:lang w:eastAsia="en-US"/>
      <w14:ligatures w14:val="standardContextual"/>
    </w:rPr>
  </w:style>
  <w:style w:type="paragraph" w:styleId="13">
    <w:name w:val="footer"/>
    <w:basedOn w:val="1"/>
    <w:link w:val="37"/>
    <w:unhideWhenUsed/>
    <w:qFormat/>
    <w:uiPriority w:val="99"/>
    <w:pPr>
      <w:tabs>
        <w:tab w:val="center" w:pos="4252"/>
        <w:tab w:val="right" w:pos="8504"/>
      </w:tabs>
      <w:spacing w:line="240" w:lineRule="auto"/>
    </w:pPr>
    <w:rPr>
      <w:rFonts w:asciiTheme="minorHAnsi" w:hAnsiTheme="minorHAnsi" w:eastAsiaTheme="minorHAnsi" w:cstheme="minorBidi"/>
      <w:kern w:val="2"/>
      <w:sz w:val="24"/>
      <w:szCs w:val="24"/>
      <w:lang w:eastAsia="en-US"/>
      <w14:ligatures w14:val="standardContextual"/>
    </w:rPr>
  </w:style>
  <w:style w:type="paragraph" w:styleId="14">
    <w:name w:val="Subtitle"/>
    <w:basedOn w:val="1"/>
    <w:next w:val="1"/>
    <w:link w:val="28"/>
    <w:qFormat/>
    <w:uiPriority w:val="11"/>
    <w:pPr>
      <w:spacing w:after="160" w:line="278" w:lineRule="auto"/>
    </w:pPr>
    <w:rPr>
      <w:rFonts w:asciiTheme="minorHAnsi" w:hAnsiTheme="minorHAnsi" w:eastAsiaTheme="majorEastAsia" w:cstheme="majorBidi"/>
      <w:color w:val="595959" w:themeColor="text1" w:themeTint="A6"/>
      <w:spacing w:val="15"/>
      <w:kern w:val="2"/>
      <w:sz w:val="28"/>
      <w:szCs w:val="28"/>
      <w:lang w:eastAsia="en-US"/>
      <w14:textFill>
        <w14:solidFill>
          <w14:schemeClr w14:val="tx1">
            <w14:lumMod w14:val="65000"/>
            <w14:lumOff w14:val="35000"/>
          </w14:schemeClr>
        </w14:solidFill>
      </w14:textFill>
      <w14:ligatures w14:val="standardContextual"/>
    </w:rPr>
  </w:style>
  <w:style w:type="table" w:styleId="17">
    <w:name w:val="Table Grid"/>
    <w:basedOn w:val="16"/>
    <w:qFormat/>
    <w:uiPriority w:val="39"/>
    <w:pPr>
      <w:spacing w:after="0" w:line="240" w:lineRule="auto"/>
    </w:pPr>
    <w:rPr>
      <w:rFonts w:ascii="Arial" w:hAnsi="Arial" w:eastAsia="Arial" w:cs="Arial"/>
      <w:kern w:val="0"/>
      <w:sz w:val="22"/>
      <w:szCs w:val="22"/>
      <w:lang w:eastAsia="pt-BR"/>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Título 1 Char"/>
    <w:basedOn w:val="15"/>
    <w:link w:val="2"/>
    <w:qFormat/>
    <w:uiPriority w:val="9"/>
    <w:rPr>
      <w:rFonts w:asciiTheme="majorHAnsi" w:hAnsiTheme="majorHAnsi" w:eastAsiaTheme="majorEastAsia" w:cstheme="majorBidi"/>
      <w:color w:val="104862" w:themeColor="accent1" w:themeShade="BF"/>
      <w:sz w:val="40"/>
      <w:szCs w:val="40"/>
    </w:rPr>
  </w:style>
  <w:style w:type="character" w:customStyle="1" w:styleId="19">
    <w:name w:val="Título 2 Char"/>
    <w:basedOn w:val="15"/>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Título 3 Char"/>
    <w:basedOn w:val="15"/>
    <w:link w:val="4"/>
    <w:semiHidden/>
    <w:qFormat/>
    <w:uiPriority w:val="9"/>
    <w:rPr>
      <w:rFonts w:eastAsiaTheme="majorEastAsia" w:cstheme="majorBidi"/>
      <w:color w:val="104862" w:themeColor="accent1" w:themeShade="BF"/>
      <w:sz w:val="28"/>
      <w:szCs w:val="28"/>
    </w:rPr>
  </w:style>
  <w:style w:type="character" w:customStyle="1" w:styleId="21">
    <w:name w:val="Título 4 Char"/>
    <w:basedOn w:val="15"/>
    <w:link w:val="5"/>
    <w:semiHidden/>
    <w:uiPriority w:val="9"/>
    <w:rPr>
      <w:rFonts w:eastAsiaTheme="majorEastAsia" w:cstheme="majorBidi"/>
      <w:i/>
      <w:iCs/>
      <w:color w:val="104862" w:themeColor="accent1" w:themeShade="BF"/>
    </w:rPr>
  </w:style>
  <w:style w:type="character" w:customStyle="1" w:styleId="22">
    <w:name w:val="Título 5 Char"/>
    <w:basedOn w:val="15"/>
    <w:link w:val="6"/>
    <w:semiHidden/>
    <w:qFormat/>
    <w:uiPriority w:val="9"/>
    <w:rPr>
      <w:rFonts w:eastAsiaTheme="majorEastAsia" w:cstheme="majorBidi"/>
      <w:color w:val="104862" w:themeColor="accent1" w:themeShade="BF"/>
    </w:rPr>
  </w:style>
  <w:style w:type="character" w:customStyle="1" w:styleId="23">
    <w:name w:val="Título 6 Char"/>
    <w:basedOn w:val="15"/>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Título 7 Char"/>
    <w:basedOn w:val="15"/>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Título 8 Char"/>
    <w:basedOn w:val="15"/>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Título 9 Char"/>
    <w:basedOn w:val="15"/>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ítulo Char"/>
    <w:basedOn w:val="15"/>
    <w:link w:val="11"/>
    <w:qFormat/>
    <w:uiPriority w:val="10"/>
    <w:rPr>
      <w:rFonts w:asciiTheme="majorHAnsi" w:hAnsiTheme="majorHAnsi" w:eastAsiaTheme="majorEastAsia" w:cstheme="majorBidi"/>
      <w:spacing w:val="-10"/>
      <w:kern w:val="28"/>
      <w:sz w:val="56"/>
      <w:szCs w:val="56"/>
    </w:rPr>
  </w:style>
  <w:style w:type="character" w:customStyle="1" w:styleId="28">
    <w:name w:val="Subtítulo Char"/>
    <w:basedOn w:val="15"/>
    <w:link w:val="14"/>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278" w:lineRule="auto"/>
      <w:jc w:val="center"/>
    </w:pPr>
    <w:rPr>
      <w:rFonts w:asciiTheme="minorHAnsi" w:hAnsiTheme="minorHAnsi" w:eastAsiaTheme="minorHAnsi" w:cstheme="minorBidi"/>
      <w:i/>
      <w:iCs/>
      <w:color w:val="404040" w:themeColor="text1" w:themeTint="BF"/>
      <w:kern w:val="2"/>
      <w:sz w:val="24"/>
      <w:szCs w:val="24"/>
      <w:lang w:eastAsia="en-US"/>
      <w14:textFill>
        <w14:solidFill>
          <w14:schemeClr w14:val="tx1">
            <w14:lumMod w14:val="75000"/>
            <w14:lumOff w14:val="25000"/>
          </w14:schemeClr>
        </w14:solidFill>
      </w14:textFill>
      <w14:ligatures w14:val="standardContextual"/>
    </w:rPr>
  </w:style>
  <w:style w:type="character" w:customStyle="1" w:styleId="30">
    <w:name w:val="Citação Char"/>
    <w:basedOn w:val="15"/>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spacing w:after="160" w:line="278" w:lineRule="auto"/>
      <w:ind w:left="720"/>
      <w:contextualSpacing/>
    </w:pPr>
    <w:rPr>
      <w:rFonts w:asciiTheme="minorHAnsi" w:hAnsiTheme="minorHAnsi" w:eastAsiaTheme="minorHAnsi" w:cstheme="minorBidi"/>
      <w:kern w:val="2"/>
      <w:sz w:val="24"/>
      <w:szCs w:val="24"/>
      <w:lang w:eastAsia="en-US"/>
      <w14:ligatures w14:val="standardContextual"/>
    </w:rPr>
  </w:style>
  <w:style w:type="character" w:customStyle="1" w:styleId="32">
    <w:name w:val="Intense Emphasis"/>
    <w:basedOn w:val="15"/>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color w:val="104862" w:themeColor="accent1" w:themeShade="BF"/>
      <w:kern w:val="2"/>
      <w:sz w:val="24"/>
      <w:szCs w:val="24"/>
      <w:lang w:eastAsia="en-US"/>
      <w14:ligatures w14:val="standardContextual"/>
    </w:rPr>
  </w:style>
  <w:style w:type="character" w:customStyle="1" w:styleId="34">
    <w:name w:val="Citação Intensa Char"/>
    <w:basedOn w:val="15"/>
    <w:link w:val="33"/>
    <w:qFormat/>
    <w:uiPriority w:val="30"/>
    <w:rPr>
      <w:i/>
      <w:iCs/>
      <w:color w:val="104862" w:themeColor="accent1" w:themeShade="BF"/>
    </w:rPr>
  </w:style>
  <w:style w:type="character" w:customStyle="1" w:styleId="35">
    <w:name w:val="Intense Reference"/>
    <w:basedOn w:val="15"/>
    <w:qFormat/>
    <w:uiPriority w:val="32"/>
    <w:rPr>
      <w:b/>
      <w:bCs/>
      <w:smallCaps/>
      <w:color w:val="104862" w:themeColor="accent1" w:themeShade="BF"/>
      <w:spacing w:val="5"/>
    </w:rPr>
  </w:style>
  <w:style w:type="character" w:customStyle="1" w:styleId="36">
    <w:name w:val="Cabeçalho Char"/>
    <w:basedOn w:val="15"/>
    <w:link w:val="12"/>
    <w:qFormat/>
    <w:uiPriority w:val="99"/>
  </w:style>
  <w:style w:type="character" w:customStyle="1" w:styleId="37">
    <w:name w:val="Rodapé Char"/>
    <w:basedOn w:val="15"/>
    <w:link w:val="13"/>
    <w:qFormat/>
    <w:uiPriority w:val="99"/>
  </w:style>
  <w:style w:type="paragraph" w:customStyle="1" w:styleId="38">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9">
    <w:name w:val="normaltextrun"/>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2569</Words>
  <Characters>13877</Characters>
  <Lines>115</Lines>
  <Paragraphs>32</Paragraphs>
  <TotalTime>6</TotalTime>
  <ScaleCrop>false</ScaleCrop>
  <LinksUpToDate>false</LinksUpToDate>
  <CharactersWithSpaces>16414</CharactersWithSpaces>
  <Application>WPS Office_11.2.0.9629_F1E327BC-269C-435d-A152-05C5408002CA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2025-12-09T14:28:00Z</dcterms:created>
  <dc:creator>Lauriana Martins Vinha</dc:creator>
  <cp:lastModifiedBy>cristiane.silva</cp:lastModifiedBy>
  <cp:lastPrinted>2026-05-12T13:24:00Z</cp:lastPrinted>
  <dcterms:modified xsi:type="dcterms:W3CDTF">2026-06-23T18:52:07Z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y fmtid="{D5CDD505-2E9C-101B-9397-08002B2CF9AE}" pid="3" name="KSOProductBuildVer">
    <vt:lpwstr>1046-11.2.0.9629</vt:lpwstr>
  </property>
  <property fmtid="{D5CDD505-2E9C-101B-9397-08002B2CF9AE}" pid="4" name="ICV">
    <vt:lpwstr>A862E726215C49569C57C0A421C9E3A7_12</vt:lpwstr>
  </property>
</Properties>
</file>