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2BEDD" w14:textId="3BB957B2" w:rsidR="00FA7EC9" w:rsidRDefault="008B67CD" w:rsidP="00E842F8">
      <w:pPr>
        <w:spacing w:after="0" w:line="360" w:lineRule="auto"/>
        <w:jc w:val="both"/>
        <w:rPr>
          <w:rFonts w:ascii="Arial" w:hAnsi="Arial" w:cs="Arial"/>
        </w:rPr>
      </w:pPr>
      <w:r w:rsidRPr="00AE240D">
        <w:rPr>
          <w:rFonts w:ascii="Arial" w:eastAsia="Times New Roman" w:hAnsi="Arial" w:cs="Arial"/>
          <w:color w:val="000000"/>
          <w:kern w:val="28"/>
          <w:lang w:eastAsia="pt-BR"/>
        </w:rPr>
        <w:t xml:space="preserve">                                                                                                                                                                                                                                                                                                                                                                                                                                                                                                                                                                                                                                                                                                                                                                                                                                                                                                                                                                                                                                                                                                                                                                                                                                                                                                                                                                                                                                                                                                                                                                                                                                                                                                                                                                                                                                                                                                                                                                                                                                                                                                                                                                                                                                                                                                                                                                                                                                                                                                                                                                                                                                                                                                                                                                                                                                                                                                                                                                                                                                                                                                                                                                                                                                                                                                                                                                                                                                                                                                                                                                                                                                                                                                                                                                                                                                                                                                                                                                                                                                                                                                                                                                                                                                                                                                                                                                                                                                                                                                                                                                                                                                                                                                                                                                                                                                                                                                                                                                                                                                                                                                                                                                                                                                                                                                                                                                                                                                                                                                                                                                                                                                                                                                                                                                                                                                                                                                                                                                                                                                                                                                                                                                                                                                                                                                                                                                                                                                                                                                                                                                                                                                                                                                                                                                                                   </w:t>
      </w:r>
      <w:r w:rsidRPr="00AE240D">
        <w:rPr>
          <w:rFonts w:ascii="Arial" w:eastAsia="Times New Roman" w:hAnsi="Arial" w:cs="Arial"/>
          <w:b/>
          <w:bCs/>
          <w:color w:val="000000"/>
          <w:kern w:val="28"/>
          <w:lang w:eastAsia="pt-BR"/>
        </w:rPr>
        <w:t>ATA DA VIGÉSIMA OITAVA SESSÃO ORDINÁRIA DA DÉCIMA SEXTA LEGISLATURA, REALIZADA ÀS DEZENOVE HORAS DO DIA QUINZE DE JUNHO DE DOIS MIL E VINTE E SEIS.</w:t>
      </w:r>
      <w:r w:rsidRPr="00AE240D">
        <w:rPr>
          <w:rFonts w:ascii="Arial" w:eastAsia="Times New Roman" w:hAnsi="Arial" w:cs="Arial"/>
          <w:color w:val="000000"/>
          <w:kern w:val="28"/>
          <w:lang w:eastAsia="pt-BR"/>
        </w:rPr>
        <w:t xml:space="preserve">  Aos quinze dias do mês de junho</w:t>
      </w:r>
      <w:r w:rsidRPr="00AE240D">
        <w:rPr>
          <w:rFonts w:ascii="Arial" w:hAnsi="Arial" w:cs="Arial"/>
        </w:rPr>
        <w:t xml:space="preserve"> de dois mil e vinte seis, às dezenove horas, nas dependências da Câmara Municipal de Vereadores de </w:t>
      </w:r>
      <w:proofErr w:type="spellStart"/>
      <w:r w:rsidRPr="00AE240D">
        <w:rPr>
          <w:rFonts w:ascii="Arial" w:hAnsi="Arial" w:cs="Arial"/>
        </w:rPr>
        <w:t>Tuparendi</w:t>
      </w:r>
      <w:proofErr w:type="spellEnd"/>
      <w:r w:rsidRPr="00AE240D">
        <w:rPr>
          <w:rFonts w:ascii="Arial" w:hAnsi="Arial" w:cs="Arial"/>
        </w:rPr>
        <w:t xml:space="preserve">/RS, na Sala de Sessões, reuniu-se os Vereadores, na 28ª Vigésima Oitava Sessão Ordinária. Estando presentes os senhores vereadores: </w:t>
      </w:r>
      <w:r w:rsidR="001B6A40" w:rsidRPr="00373795">
        <w:rPr>
          <w:rFonts w:ascii="Arial" w:hAnsi="Arial" w:cs="Arial"/>
        </w:rPr>
        <w:t xml:space="preserve">Eliza </w:t>
      </w:r>
      <w:proofErr w:type="spellStart"/>
      <w:r w:rsidR="001B6A40" w:rsidRPr="00373795">
        <w:rPr>
          <w:rFonts w:ascii="Arial" w:hAnsi="Arial" w:cs="Arial"/>
        </w:rPr>
        <w:t>Andrighetti</w:t>
      </w:r>
      <w:proofErr w:type="spellEnd"/>
      <w:r w:rsidR="001B6A40" w:rsidRPr="00373795">
        <w:rPr>
          <w:rFonts w:ascii="Arial" w:hAnsi="Arial" w:cs="Arial"/>
        </w:rPr>
        <w:t xml:space="preserve"> Konzen (PT), </w:t>
      </w:r>
      <w:r w:rsidR="001B6A40" w:rsidRPr="00373795">
        <w:rPr>
          <w:rFonts w:ascii="Arial" w:hAnsi="Arial" w:cs="Arial"/>
          <w:bCs/>
        </w:rPr>
        <w:t xml:space="preserve">Everton Pablo dos Santos Tusi (MDB), Flávio </w:t>
      </w:r>
      <w:proofErr w:type="spellStart"/>
      <w:r w:rsidR="001B6A40" w:rsidRPr="00373795">
        <w:rPr>
          <w:rFonts w:ascii="Arial" w:hAnsi="Arial" w:cs="Arial"/>
          <w:bCs/>
        </w:rPr>
        <w:t>Pawlak</w:t>
      </w:r>
      <w:proofErr w:type="spellEnd"/>
      <w:r w:rsidR="001B6A40" w:rsidRPr="00373795">
        <w:rPr>
          <w:rFonts w:ascii="Arial" w:hAnsi="Arial" w:cs="Arial"/>
          <w:bCs/>
        </w:rPr>
        <w:t xml:space="preserve"> (PP), Francesco </w:t>
      </w:r>
      <w:proofErr w:type="spellStart"/>
      <w:r w:rsidR="001B6A40" w:rsidRPr="00373795">
        <w:rPr>
          <w:rFonts w:ascii="Arial" w:hAnsi="Arial" w:cs="Arial"/>
          <w:bCs/>
        </w:rPr>
        <w:t>Antonio</w:t>
      </w:r>
      <w:proofErr w:type="spellEnd"/>
      <w:r w:rsidR="001B6A40" w:rsidRPr="00373795">
        <w:rPr>
          <w:rFonts w:ascii="Arial" w:hAnsi="Arial" w:cs="Arial"/>
          <w:bCs/>
        </w:rPr>
        <w:t xml:space="preserve"> </w:t>
      </w:r>
      <w:proofErr w:type="spellStart"/>
      <w:r w:rsidR="001B6A40" w:rsidRPr="00373795">
        <w:rPr>
          <w:rFonts w:ascii="Arial" w:hAnsi="Arial" w:cs="Arial"/>
          <w:bCs/>
        </w:rPr>
        <w:t>Dallenogare</w:t>
      </w:r>
      <w:proofErr w:type="spellEnd"/>
      <w:r w:rsidR="001B6A40" w:rsidRPr="00373795">
        <w:rPr>
          <w:rFonts w:ascii="Arial" w:hAnsi="Arial" w:cs="Arial"/>
          <w:bCs/>
        </w:rPr>
        <w:t xml:space="preserve"> (PL), Gisele </w:t>
      </w:r>
      <w:proofErr w:type="spellStart"/>
      <w:r w:rsidR="001B6A40" w:rsidRPr="00373795">
        <w:rPr>
          <w:rFonts w:ascii="Arial" w:hAnsi="Arial" w:cs="Arial"/>
          <w:bCs/>
        </w:rPr>
        <w:t>Deggeroni</w:t>
      </w:r>
      <w:proofErr w:type="spellEnd"/>
      <w:r w:rsidR="001B6A40" w:rsidRPr="00373795">
        <w:rPr>
          <w:rFonts w:ascii="Arial" w:hAnsi="Arial" w:cs="Arial"/>
          <w:bCs/>
        </w:rPr>
        <w:t xml:space="preserve"> </w:t>
      </w:r>
      <w:proofErr w:type="spellStart"/>
      <w:r w:rsidR="001B6A40" w:rsidRPr="00373795">
        <w:rPr>
          <w:rFonts w:ascii="Arial" w:hAnsi="Arial" w:cs="Arial"/>
          <w:bCs/>
        </w:rPr>
        <w:t>Mattiazzi</w:t>
      </w:r>
      <w:proofErr w:type="spellEnd"/>
      <w:r w:rsidR="001B6A40" w:rsidRPr="00373795">
        <w:rPr>
          <w:rFonts w:ascii="Arial" w:hAnsi="Arial" w:cs="Arial"/>
          <w:bCs/>
        </w:rPr>
        <w:t xml:space="preserve"> (PP), Jonas Ribeiro (PDT), Milton </w:t>
      </w:r>
      <w:proofErr w:type="spellStart"/>
      <w:r w:rsidR="001B6A40" w:rsidRPr="00373795">
        <w:rPr>
          <w:rFonts w:ascii="Arial" w:hAnsi="Arial" w:cs="Arial"/>
          <w:bCs/>
        </w:rPr>
        <w:t>Khane</w:t>
      </w:r>
      <w:proofErr w:type="spellEnd"/>
      <w:r w:rsidR="001B6A40" w:rsidRPr="00373795">
        <w:rPr>
          <w:rFonts w:ascii="Arial" w:hAnsi="Arial" w:cs="Arial"/>
          <w:bCs/>
        </w:rPr>
        <w:t xml:space="preserve"> </w:t>
      </w:r>
      <w:proofErr w:type="spellStart"/>
      <w:r w:rsidR="001B6A40" w:rsidRPr="00373795">
        <w:rPr>
          <w:rFonts w:ascii="Arial" w:hAnsi="Arial" w:cs="Arial"/>
          <w:bCs/>
        </w:rPr>
        <w:t>Sichinel</w:t>
      </w:r>
      <w:proofErr w:type="spellEnd"/>
      <w:r w:rsidR="001B6A40" w:rsidRPr="00373795">
        <w:rPr>
          <w:rFonts w:ascii="Arial" w:hAnsi="Arial" w:cs="Arial"/>
          <w:bCs/>
        </w:rPr>
        <w:t xml:space="preserve"> (MDB), Nerci de Souza (PDT) e Rafael Hermans (PP)</w:t>
      </w:r>
      <w:r w:rsidR="001B6A40" w:rsidRPr="00373795">
        <w:rPr>
          <w:rFonts w:ascii="Arial" w:eastAsia="Times New Roman" w:hAnsi="Arial" w:cs="Arial"/>
          <w:b/>
          <w:bCs/>
          <w:color w:val="000000"/>
          <w:kern w:val="28"/>
          <w:lang w:eastAsia="pt-BR"/>
        </w:rPr>
        <w:t>.</w:t>
      </w:r>
      <w:r w:rsidRPr="00AE240D">
        <w:rPr>
          <w:rFonts w:ascii="Arial" w:hAnsi="Arial" w:cs="Arial"/>
        </w:rPr>
        <w:t xml:space="preserve"> Os trabalhos foram abertos em nome de Deus e da Pátria pelo Presidente. Registrou a presença dos vereadores. Em seguida passou-se para a votação da ata:</w:t>
      </w:r>
      <w:r w:rsidRPr="00AE240D">
        <w:rPr>
          <w:rFonts w:ascii="Arial" w:eastAsia="Times New Roman" w:hAnsi="Arial" w:cs="Arial"/>
          <w:kern w:val="28"/>
          <w:lang w:eastAsia="pt-BR"/>
        </w:rPr>
        <w:t xml:space="preserve"> Ata da 27ª Sessão Ordinária, realizada no dia primeiro de junho de 2026, </w:t>
      </w:r>
      <w:r w:rsidRPr="00AE240D">
        <w:rPr>
          <w:rFonts w:ascii="Arial" w:hAnsi="Arial" w:cs="Arial"/>
        </w:rPr>
        <w:t xml:space="preserve">ata </w:t>
      </w:r>
      <w:r w:rsidRPr="00AE240D">
        <w:rPr>
          <w:rFonts w:ascii="Arial" w:hAnsi="Arial" w:cs="Arial"/>
          <w:u w:val="single"/>
        </w:rPr>
        <w:t>aprovada por unanimidade de votos.</w:t>
      </w:r>
      <w:r w:rsidRPr="00AE240D">
        <w:rPr>
          <w:rFonts w:ascii="Arial" w:eastAsia="Times New Roman" w:hAnsi="Arial" w:cs="Arial"/>
          <w:kern w:val="28"/>
          <w:lang w:eastAsia="pt-BR"/>
        </w:rPr>
        <w:t xml:space="preserve"> A Secretária </w:t>
      </w:r>
      <w:r w:rsidRPr="00AE240D">
        <w:rPr>
          <w:rFonts w:ascii="Arial" w:hAnsi="Arial" w:cs="Arial"/>
        </w:rPr>
        <w:t xml:space="preserve">Eliza Helena </w:t>
      </w:r>
      <w:proofErr w:type="spellStart"/>
      <w:r w:rsidRPr="00AE240D">
        <w:rPr>
          <w:rFonts w:ascii="Arial" w:hAnsi="Arial" w:cs="Arial"/>
        </w:rPr>
        <w:t>Andrighetti</w:t>
      </w:r>
      <w:proofErr w:type="spellEnd"/>
      <w:r w:rsidRPr="00AE240D">
        <w:rPr>
          <w:rFonts w:ascii="Arial" w:hAnsi="Arial" w:cs="Arial"/>
        </w:rPr>
        <w:t xml:space="preserve"> Konzen</w:t>
      </w:r>
      <w:r w:rsidRPr="00AE240D">
        <w:rPr>
          <w:rFonts w:ascii="Arial" w:eastAsia="Times New Roman" w:hAnsi="Arial" w:cs="Arial"/>
          <w:kern w:val="28"/>
          <w:lang w:eastAsia="pt-BR"/>
        </w:rPr>
        <w:t>, fez a leitura das correspondências recebidas e expedidas.</w:t>
      </w:r>
      <w:r w:rsidRPr="00AE240D">
        <w:rPr>
          <w:rFonts w:ascii="Arial" w:hAnsi="Arial" w:cs="Arial"/>
        </w:rPr>
        <w:t xml:space="preserve"> </w:t>
      </w:r>
      <w:r w:rsidR="000716CD" w:rsidRPr="00AE240D">
        <w:rPr>
          <w:rFonts w:ascii="Arial" w:hAnsi="Arial" w:cs="Arial"/>
        </w:rPr>
        <w:t xml:space="preserve">Boa noite, senhor presidente, colegas vereadores, colega vereadora. Começo então pelas correspondências recebidas. Tanto na qualidade de agente de controle interno titular da Unidade Central de Controle Interno do município de </w:t>
      </w:r>
      <w:proofErr w:type="spellStart"/>
      <w:r w:rsidR="000716CD" w:rsidRPr="00AE240D">
        <w:rPr>
          <w:rFonts w:ascii="Arial" w:hAnsi="Arial" w:cs="Arial"/>
        </w:rPr>
        <w:t>Tuparendi</w:t>
      </w:r>
      <w:proofErr w:type="spellEnd"/>
      <w:r w:rsidR="000716CD" w:rsidRPr="00AE240D">
        <w:rPr>
          <w:rFonts w:ascii="Arial" w:hAnsi="Arial" w:cs="Arial"/>
        </w:rPr>
        <w:t xml:space="preserve">, Rio Grande do Sul, no uso de suas atribuições constitucionais e legais, em estrito atendimento ao pedido de informação formulada pelo Senhor Vereador MILTON K. SICHINEL em 16 de abril de 2026, apresenta o presente relatório de atividades de fiscalização e auditoria. Este expediente visa compilar as atividades de fiscalização, auditoria e comunicação externas realizadas por esta unidade central, com foco nas operações administrativas e financeiras do Poder Executivo Municipal, durante os exercícios de 2025 e 2026. Atenciosamente, Daniel Soares. Relatório. Excelentíssimo senhor MILTON K. SICHINEL, vereador da bancada do MDB, Câmara Municipal de Vereadores. Na qualidade de agente de controle interno, titular da Unidade Central de Controle Interno do município de </w:t>
      </w:r>
      <w:proofErr w:type="spellStart"/>
      <w:r w:rsidR="000716CD" w:rsidRPr="00AE240D">
        <w:rPr>
          <w:rFonts w:ascii="Arial" w:hAnsi="Arial" w:cs="Arial"/>
        </w:rPr>
        <w:t>Tuparendi</w:t>
      </w:r>
      <w:proofErr w:type="spellEnd"/>
      <w:r w:rsidR="000716CD" w:rsidRPr="00AE240D">
        <w:rPr>
          <w:rFonts w:ascii="Arial" w:hAnsi="Arial" w:cs="Arial"/>
        </w:rPr>
        <w:t xml:space="preserve">, no uso das atribuições constitucionais e legais e em estrito atendimento ao pedido de informação, tanto, formulado por </w:t>
      </w:r>
      <w:r w:rsidR="00AE240D">
        <w:rPr>
          <w:rFonts w:ascii="Arial" w:hAnsi="Arial" w:cs="Arial"/>
        </w:rPr>
        <w:t>Vossa Excelência</w:t>
      </w:r>
      <w:r w:rsidR="000716CD" w:rsidRPr="00AE240D">
        <w:rPr>
          <w:rFonts w:ascii="Arial" w:hAnsi="Arial" w:cs="Arial"/>
        </w:rPr>
        <w:t xml:space="preserve"> em </w:t>
      </w:r>
      <w:r w:rsidR="00AE240D">
        <w:rPr>
          <w:rFonts w:ascii="Arial" w:hAnsi="Arial" w:cs="Arial"/>
        </w:rPr>
        <w:t>dezesseis de</w:t>
      </w:r>
      <w:r w:rsidR="000716CD" w:rsidRPr="00AE240D">
        <w:rPr>
          <w:rFonts w:ascii="Arial" w:hAnsi="Arial" w:cs="Arial"/>
        </w:rPr>
        <w:t xml:space="preserve"> abril de 2026, apresento o presente relatório de atividades de fiscalização e auditoria. Esse expediente visa compilar as atividades de fiscalização, auditoria e comunicações externas realizadas por essa Unidade Central com foco nas operações administrativas e financeiras do Poder Executivo Municipal </w:t>
      </w:r>
      <w:r w:rsidR="000716CD" w:rsidRPr="00AE240D">
        <w:rPr>
          <w:rFonts w:ascii="Arial" w:hAnsi="Arial" w:cs="Arial"/>
          <w:highlight w:val="yellow"/>
        </w:rPr>
        <w:t>durante os exercícios do exercício</w:t>
      </w:r>
      <w:r w:rsidR="000716CD" w:rsidRPr="00AE240D">
        <w:rPr>
          <w:rFonts w:ascii="Arial" w:hAnsi="Arial" w:cs="Arial"/>
        </w:rPr>
        <w:t xml:space="preserve">. Este expediente funda-se normativamente no artigo 74 da </w:t>
      </w:r>
      <w:r w:rsidR="000716CD" w:rsidRPr="00AE240D">
        <w:rPr>
          <w:rFonts w:ascii="Arial" w:hAnsi="Arial" w:cs="Arial"/>
        </w:rPr>
        <w:lastRenderedPageBreak/>
        <w:t xml:space="preserve">Constituição da República Federativa do Brasil de 1988, no artigo 59 da Lei Complementar nº 101, de 4 de maio de 2000. E, na Lei Municipal nº 2.652, de 8 de julho de 2015, que dispõe sobre a organização do sistema de controle na administração local, do escopo institucional e da atuação do controle interno, para a adequada compreensão e delimitação das informações técnicas adiante e colacionadas, cumpre esclarecer a natureza funcional do controle na administração pública de </w:t>
      </w:r>
      <w:proofErr w:type="spellStart"/>
      <w:r w:rsidR="000716CD" w:rsidRPr="00AE240D">
        <w:rPr>
          <w:rFonts w:ascii="Arial" w:hAnsi="Arial" w:cs="Arial"/>
        </w:rPr>
        <w:t>Tuparendi</w:t>
      </w:r>
      <w:proofErr w:type="spellEnd"/>
      <w:r w:rsidR="000716CD" w:rsidRPr="00AE240D">
        <w:rPr>
          <w:rFonts w:ascii="Arial" w:hAnsi="Arial" w:cs="Arial"/>
        </w:rPr>
        <w:t xml:space="preserve">. Conforme os ditames da Lei Municipal nº 2.652 e nº 2.015, o sistema de controle interno possui atuação transversal e integrada, alcançando de forma cogente e vinculante tanto o Poder Executivo quanto o Poder Legislativo. Sob a égide do ordenamento jurídico pátrio, a atividade de controle interno no Poder Executivo cumpre um duplo papel, subsidiar a gestão preventiva do Poder Executivo e fornecer elementos de transparência que auxiliem o Poder Legislativo em sua competência constitucional e de controle externo. Com o objetivo de assegurar a regularidade operacional, a integridade e a segregação de funções, a fiscalização municipal está estruturada em três níveis complementares e integrados. Sistema de Controle Interno, órgãos setoriais, unidade central de controle interno. Das atribuições da unidade de controle interno e das obrigações de comunicação externa. No cumprimento de sua missão de salvaguarda do erário e da garantia da conformidade legal, na gestão do Poder Executivo, as competências e deveres vinculados dividem-se nos seguintes eixos estratégicos de controle. Coordenação central. Fiscalização de atos administrativos. Proposição de medidas corretivas e saneadoras. Dever de alerta e denúncia. Dever de alerta e denúncia ao controle externo. Parecer sobre as contas anuais. Firmadas as premissas institucionais e delimitadas no escopo do relatório aos processos do Poder Executivo, solicitados passa-se ao relato analítico e cronológico das auditorias realizadas, áreas inspecionadas, principais achados com as respectivas providências adotadas, bem como a relação detalhada de comunicações e representações dirigidas aos órgãos de controle externo durante o período de 2025 e 2026. Agradeça-se por oportuno que as informações detalhadas sobre os procedimentos fiscalizatórios atualmente em curso não serão </w:t>
      </w:r>
      <w:proofErr w:type="gramStart"/>
      <w:r w:rsidR="000716CD" w:rsidRPr="00AE240D">
        <w:rPr>
          <w:rFonts w:ascii="Arial" w:hAnsi="Arial" w:cs="Arial"/>
        </w:rPr>
        <w:t>registrados</w:t>
      </w:r>
      <w:proofErr w:type="gramEnd"/>
      <w:r w:rsidR="000716CD" w:rsidRPr="00AE240D">
        <w:rPr>
          <w:rFonts w:ascii="Arial" w:hAnsi="Arial" w:cs="Arial"/>
        </w:rPr>
        <w:t xml:space="preserve"> nesse relatório. Auditorias. Nos exercícios de 2025 e 2026, a Unidade Central de Controle Interno realizou os seguintes procedimentos de auditoria. Auditoria 1 de 2025. Auditoria especial. Convocação para trabalho em regime suplementar. Secretaria de Educação e Cultura. Objetivo, analisar a legalidade dos atos de convocação para cumprir regime suplementar de 20 horas semanais no fulcro do edital 10 de 2025, publicado em 27 de janeiro de 2025, e no edital </w:t>
      </w:r>
      <w:r w:rsidR="000716CD" w:rsidRPr="00AE240D">
        <w:rPr>
          <w:rFonts w:ascii="Arial" w:hAnsi="Arial" w:cs="Arial"/>
        </w:rPr>
        <w:lastRenderedPageBreak/>
        <w:t xml:space="preserve">nº 31 de 2025, publicado em 18 de fevereiro de 2025. Conclusões. As constatações e os documentos comprobatórios apresentados demonstram que não houve preterição aos candidatos aprovados em concurso público, bem como foram observados os requisitos legais e formais nos atos de convocação e nomeação, estando estes de acordo com o que preceitua a legislação vigente, mais especificamente com o dispositivo legal que autoriza tais convocações, qual seja o parágrafo 1º do artigo 30, número 30 da Lei Municipal, 3097, de 19 de dezembro de 2023. Auditoria 2. Dispensa de licitação, número 19 de 2025. Departamento de Compras e Licitações. Analisar a legalidade da contratação da empresa de Márcia Luísa Linde por meio de dispensa de licitação, número 19 de 2025. O valor registrado de R$ 37,00 a hora com quantidade máxima de 2.000 horas, totalizando o valor de R$ 74.000. Conclusões. As constatações e os documentos comprobatórios apresentados inicialmente demonstravam que houve falhas formais e vícios de legalidade na instrução do processo, uma vez, a apresentação da carteirinha de artesã para o prazo de validade era um dos documentos para a habilitação do licitante. Porém, o documento apresentado estava vencido, o que deveria ter ocasionado a imediata inabilitação do licitante vencido, sem como o instrumento de contrato não foi formalizado, mesmo sendo obrigatório para esse tipo de contratação nos termos do artigo 95 da Lei nº 14.133, de 2021, já que o valor da ata do registro de preços deve ser </w:t>
      </w:r>
      <w:proofErr w:type="gramStart"/>
      <w:r w:rsidR="000716CD" w:rsidRPr="00AE240D">
        <w:rPr>
          <w:rFonts w:ascii="Arial" w:hAnsi="Arial" w:cs="Arial"/>
        </w:rPr>
        <w:t>considerada</w:t>
      </w:r>
      <w:proofErr w:type="gramEnd"/>
      <w:r w:rsidR="000716CD" w:rsidRPr="00AE240D">
        <w:rPr>
          <w:rFonts w:ascii="Arial" w:hAnsi="Arial" w:cs="Arial"/>
        </w:rPr>
        <w:t xml:space="preserve"> pela quantidade máxima a ser adquirida, pois essa é a referência para a contratação. Providências adotadas. Após a conclusão da auditoria, a Unidade Central de Controle Interno emitiu a Recomendação nº 95, onde recomendou a abertura de processo administrativo para verificar a necessidade de anulação do ato pelo vício apontado na habilitação da licitante vencedora, bem como recomendou a formalização do instrumento contratual obrigatório nos termos do artigo 95 da nova Lei de Licitação e Contrato. O prefeito municipal submeteu o processo à assessoria jurídica que, após diligência junto ao DPDS, confirmou que a ausência de renovação da carteira de artesã decorreu de falha administrativa do órgão emissor em </w:t>
      </w:r>
      <w:r w:rsidR="000716CD" w:rsidRPr="00AE240D">
        <w:rPr>
          <w:rFonts w:ascii="Arial" w:hAnsi="Arial" w:cs="Arial"/>
          <w:highlight w:val="yellow"/>
        </w:rPr>
        <w:t>12 de 13 de 2025</w:t>
      </w:r>
      <w:r w:rsidR="000716CD" w:rsidRPr="00AE240D">
        <w:rPr>
          <w:rFonts w:ascii="Arial" w:hAnsi="Arial" w:cs="Arial"/>
        </w:rPr>
        <w:t xml:space="preserve">. Não obstante, a falha do agente público considerando o princípio da razoabilidade, a assessoria jurídica manifestou-se pela manutenção do ato com o ajuste posterior da validade do documento e com a dispensa da formalização do instrumento contratual. Embora correta a manutenção do ato, considerando a base legal e jurisprudencial do formalismo moderado, a manutenção deste sem a formalização de contrato representa inobservância direta ao comando do artigo 95 da Lei nº 14.133, de 2021, </w:t>
      </w:r>
      <w:r w:rsidR="000716CD" w:rsidRPr="00AE240D">
        <w:rPr>
          <w:rFonts w:ascii="Arial" w:hAnsi="Arial" w:cs="Arial"/>
        </w:rPr>
        <w:lastRenderedPageBreak/>
        <w:t xml:space="preserve">referido parecer foi ratificado pelo prefeito municipal. Com foco na análise da validade do laudo de inspeção técnica da </w:t>
      </w:r>
      <w:r w:rsidR="000716CD" w:rsidRPr="00AE240D">
        <w:rPr>
          <w:rFonts w:ascii="Arial" w:hAnsi="Arial" w:cs="Arial"/>
          <w:highlight w:val="yellow"/>
        </w:rPr>
        <w:t>NTT</w:t>
      </w:r>
      <w:r w:rsidR="000716CD" w:rsidRPr="00AE240D">
        <w:rPr>
          <w:rFonts w:ascii="Arial" w:hAnsi="Arial" w:cs="Arial"/>
        </w:rPr>
        <w:t xml:space="preserve">, um requisito de qualificação técnica para os itens 2 e 4 do certame. Conclusões. A unidade central de controle interno concluiu que a validade do laudo foi mantida ininterruptamente, cumprindo integralmente a exigência editalícia. Não se configurou, portanto, a ocorrência de vício de habilitação ou de vício de origem, que pudesse macular o ato administrativo de homologação no que tange a validade do laudo nos termos do edital. Auditoria 4 de 2025, Patrimônio e Almoxarifado, Departamento de Patrimônio e Almoxarifado. O foco da análise foi verificar a regularidade do sistema de gerenciamento de estoques e os mecanismos de controle de materiais e o patrimônio utilizados no âmbito do município. Além de confirmar a aderência às determinações legais, foram realizadas análises nos documentos referentes ao ingresso de bens e materiais nos controles do município, operacionalidade do sistema informatizado e verificações nas dependências das unidades administrativas municipais onde os materiais encontram-se armazenados. Conclusão. A auditoria operacional realizada revelou um cenário de graves ineficiências e descontrole administrativo do gerenciamento de estoques e patrimônio do município. As principais irregularidades apontadas incluem discrepâncias críticas de estoques. Foram identificadas diferenças alarmantes entre o estoque sistema e o estoque físico, com destaque para o saldo negativo de menos 3.619 litros de óleo diesel. Controles inexistentes ou ineficazes. Constatou-se que a farmácia municipal não realizava inventário de medicamentos há aproximadamente quatro anos. Vulnerabilidade do patrimônio. Na Secretaria de Obras de Trânsito, o acesso ao depósito de pneus era livre para vários servidores, o que impossibilita o controle efetivo de entradas e saídas e facilita a ocorrência de desvios. Risco ao erário. Tais falhas configuram um risco elevado de perdas financeiras e ferem diretamente os princípios constitucionais da qualidade e eficiência. Medidas recomendadas. Em 25 de setembro de 2025, a Unidade de Controle Interno emitiu a Recomendação nº 99, detalhando seis medidas urgentes para sanar as irregularidades apuradas. Regulamentação formal do controle de estoque via instrução normativa, realização imediata de inventário na farmácia básica, realização de inventário geral em todas as unidades do Poder Executivo, instituição de inventários periódicos e surpresa, restrição de acesso aos depósitos e criação no sistema de requisição formal, treinamento regular dos servidores responsáveis. Manifestação quanto à adoção das medidas. 06-91-8, de 2 de dezembro de 2025, onde a Unidade Central de Controle Interno manifestou-se </w:t>
      </w:r>
      <w:r w:rsidR="000716CD" w:rsidRPr="00AE240D">
        <w:rPr>
          <w:rFonts w:ascii="Arial" w:hAnsi="Arial" w:cs="Arial"/>
        </w:rPr>
        <w:lastRenderedPageBreak/>
        <w:t xml:space="preserve">por meio do ofício 042 de 2025, prestando os devidos esclarecimentos preliminares e notificando a omissão da gestão sobre o status de saneamento das irregularidades apontadas no comunicado de auditoria, com a reiteração do tribunal por meio da requisição de documentos e informações enviadas em 27 de março de 2026. Protocolo nº 78, 92, 86. Medidas iniciais passaram a serem adotadas. A única exceção a essa conduta negligente em relação ao alerta formal dessa unidade de controle foi a realização do inventário da farmácia básica municipal, executado prontamente pela Secretaria Municipal de Saúde sem a necessidade de intervenção externa. Atualmente, após a intervenção do TCE, diversas medidas estão sendo implementadas com destaque para nomeação da Comissão de Inventário e Reavaliação Patrimonial, publicação da Instrução Normativa nº 1 de 2026, 3. Que dispõe sobre normas e procedimentos para a gestão de patrimônio e almoxarifado do município e da instrução número 2 de 2026, que regulamenta os procedimentos atinentes à administração e controle patrimonial dos bens móveis do município. 3. Instauração de sindicância investigatória por meio da Portaria 299 de 2026, de 17 de abril de 2026, com a finalidade de apurar as inconsistências apontadas nos relatórios de auditoria. 4. Instalação do almoxarifado central localizado em sala privativa na Secretaria de Obras e Trânsito. Designação de responsáveis por setores de materiais onde foram apontadas as inconsistências mais significativas. Farmácia básica, estoque de pneus e bomba de combustível. </w:t>
      </w:r>
    </w:p>
    <w:p w14:paraId="35729BBE" w14:textId="77777777" w:rsidR="00FA7EC9" w:rsidRDefault="00FA7EC9" w:rsidP="00E842F8">
      <w:pPr>
        <w:spacing w:after="0" w:line="360" w:lineRule="auto"/>
        <w:jc w:val="both"/>
        <w:rPr>
          <w:rFonts w:ascii="Arial" w:hAnsi="Arial" w:cs="Arial"/>
        </w:rPr>
      </w:pPr>
    </w:p>
    <w:p w14:paraId="4FB3FBE7" w14:textId="77777777" w:rsidR="00FA7EC9" w:rsidRDefault="00FA7EC9" w:rsidP="00E842F8">
      <w:pPr>
        <w:spacing w:after="0" w:line="360" w:lineRule="auto"/>
        <w:jc w:val="both"/>
        <w:rPr>
          <w:rFonts w:ascii="Arial" w:hAnsi="Arial" w:cs="Arial"/>
        </w:rPr>
      </w:pPr>
    </w:p>
    <w:p w14:paraId="40975350" w14:textId="77777777" w:rsidR="00FA7EC9" w:rsidRDefault="00FA7EC9" w:rsidP="00E842F8">
      <w:pPr>
        <w:spacing w:after="0" w:line="360" w:lineRule="auto"/>
        <w:jc w:val="both"/>
        <w:rPr>
          <w:rFonts w:ascii="Arial" w:hAnsi="Arial" w:cs="Arial"/>
        </w:rPr>
      </w:pPr>
    </w:p>
    <w:p w14:paraId="7ECE3B90" w14:textId="77777777" w:rsidR="00FA7EC9" w:rsidRDefault="00FA7EC9" w:rsidP="00E842F8">
      <w:pPr>
        <w:spacing w:after="0" w:line="360" w:lineRule="auto"/>
        <w:jc w:val="both"/>
        <w:rPr>
          <w:rFonts w:ascii="Arial" w:hAnsi="Arial" w:cs="Arial"/>
        </w:rPr>
      </w:pPr>
    </w:p>
    <w:p w14:paraId="72508A44" w14:textId="0863FC2F" w:rsidR="000716CD" w:rsidRPr="00AE240D" w:rsidRDefault="000716CD" w:rsidP="00E842F8">
      <w:pPr>
        <w:spacing w:after="0" w:line="360" w:lineRule="auto"/>
        <w:jc w:val="both"/>
        <w:rPr>
          <w:rFonts w:ascii="Arial" w:hAnsi="Arial" w:cs="Arial"/>
        </w:rPr>
      </w:pPr>
      <w:r w:rsidRPr="00AE240D">
        <w:rPr>
          <w:rFonts w:ascii="Arial" w:hAnsi="Arial" w:cs="Arial"/>
        </w:rPr>
        <w:t xml:space="preserve">Estabelecimento de prazos para as secretarias municipais concluírem a conferência física dos inventários de bens e para análise e as providências pela comissão de inventário e a reavaliação patrimonial pelo secretário de administração e pelo coordenador do setor de almoxarifado e patrimônio. Auditoria número 5 de 2025. Processo de inexigibilidade de licitação referente à contratação da empresa Humanizar Assessoria Pedagógica Limitada. Departamento de Compras e Licitações. Objetivo analisar a legalidade e a conformidade dos atos que instruíram o processo de inexigibilidade de licitação número 9 de 2025. Em face da Lei Federal nº 14.133, de 2021, para a contratação de empresa especializada em capacitação e assessoria pedagógica. A análise dos documentos inicialmente revelou inconformidade com a Lei nº 14.133, de 2021, devido à ausência </w:t>
      </w:r>
      <w:r w:rsidRPr="00AE240D">
        <w:rPr>
          <w:rFonts w:ascii="Arial" w:hAnsi="Arial" w:cs="Arial"/>
        </w:rPr>
        <w:lastRenderedPageBreak/>
        <w:t xml:space="preserve">da justificativa de preço. Porém, a inclusão a posteriori de processo de inexigibilidade de outro município com objeto e valores comparáveis comprovou que o valor contratado de R$ 59.389 é compatível com os preços de mercado de serviços técnicos similares. Dessa forma, com base no princípio da razoabilidade, essa unidade considera que ficou demonstrado o fiel cumprimento da obrigatoriedade de justificar o preço, dando segurança jurídica à contratação e afastando o risco de questionamento por ofensa ao princípio da economicidade. Diante dos fatos apurados, a unidade de controle recomendou que a autoridade competente ou o Departamento de Compras e Licitações promovesse a ratificação expressa da justificativa de preço suplementar, juntando-a formalmente aos autos para a validação final do processo, conforme art. 72, inciso 7 da Lei nº 14.133, de 2021. Auditoria 6, de 2025. Processo de inexigibilidade de licitação número 17 de 2025, referente à contratação da empresa Humanizar Assessoria Pedagógica Limitada. Departamento de Compras e Licitações. Mas está repetindo, então. Era o número 5, agora o número 6. Analisar a legalidade e a conformidade... Conformidade dos atos que instruíram o processo de inexigibilidade para a contratação de empresa especializada para prestar assessoria, revisão e atualização de documentos pedagógicos. A análise dos documentos em 7 de 11 revelou inicialmente que os requisitos essenciais para a contratação por inexigibilidade haviam sido majoritariamente cumpridos com uma ressalva crítica quanto à justificativa econômica. O parecer jurídico e a justificativa de inexigibilidade iniciais afirmaram que não havia como estabelecer pontos mensuradores para uma competição, tornando dispensável a efetivação de três cotações de preços. Portanto, inicialmente, o processo limitou-se a aceitar o valor proposto pela contratada sem demonstrar a compatibilidade com o preço do mercado. Ao constatar tal irregularidade, o controle interno em caráter de diligência auxiliou o Departamento de Compras e Licitações na pesquisa de mercado. A análise comparativa com a inexigibilidade número 13 de 2025 do município de Cacique Doble, cujo objeto é semelhante, demonstrou que o valor contratado pelo município de </w:t>
      </w:r>
      <w:proofErr w:type="spellStart"/>
      <w:r w:rsidRPr="00AE240D">
        <w:rPr>
          <w:rFonts w:ascii="Arial" w:hAnsi="Arial" w:cs="Arial"/>
        </w:rPr>
        <w:t>Tuparendi</w:t>
      </w:r>
      <w:proofErr w:type="spellEnd"/>
      <w:r w:rsidRPr="00AE240D">
        <w:rPr>
          <w:rFonts w:ascii="Arial" w:hAnsi="Arial" w:cs="Arial"/>
        </w:rPr>
        <w:t xml:space="preserve"> está abaixo do preço de mercado aferido no comparativo. Dessa forma, foi sanada a irregularidade da falta de justificativa de preço, confirmando a vantajosidade e a economicidade da contratação. Após a conclusão do trabalho de auditoria, a unidade de controle recomendou que a autoridade competente ou o departamento de compras e licitações promovesse a ratificação expressa da justificativa de preço, juntando-a normalmente aos autos para a validação final do processo. E que o Departamento de Compras </w:t>
      </w:r>
      <w:r w:rsidRPr="00AE240D">
        <w:rPr>
          <w:rFonts w:ascii="Arial" w:hAnsi="Arial" w:cs="Arial"/>
        </w:rPr>
        <w:lastRenderedPageBreak/>
        <w:t xml:space="preserve">e Licitações e Assessoria Jurídica adotasse, como rotina obrigatória e preventiva, na ausência de três cotações ou de comparação com outras contratações, métodos alternativos capazes de demonstrar a economicidade em casos de inviabilidade e de competição, garantindo a conformidade e a segurança jurídica de futuros processos de contratação direta. Auditoria 7 de 2025, análise da conformidade e legalidade dos atos, processos e rotinas da gestão pessoal do município de </w:t>
      </w:r>
      <w:proofErr w:type="spellStart"/>
      <w:r w:rsidRPr="00AE240D">
        <w:rPr>
          <w:rFonts w:ascii="Arial" w:hAnsi="Arial" w:cs="Arial"/>
        </w:rPr>
        <w:t>Tuparendi</w:t>
      </w:r>
      <w:proofErr w:type="spellEnd"/>
      <w:r w:rsidRPr="00AE240D">
        <w:rPr>
          <w:rFonts w:ascii="Arial" w:hAnsi="Arial" w:cs="Arial"/>
        </w:rPr>
        <w:t xml:space="preserve">. Departamento pessoal. Analisar a legalidade e a conformidade dos atos, processos e rotinas da gestão pessoal do município de </w:t>
      </w:r>
      <w:proofErr w:type="spellStart"/>
      <w:r w:rsidRPr="00AE240D">
        <w:rPr>
          <w:rFonts w:ascii="Arial" w:hAnsi="Arial" w:cs="Arial"/>
        </w:rPr>
        <w:t>Tuparendi</w:t>
      </w:r>
      <w:proofErr w:type="spellEnd"/>
      <w:r w:rsidRPr="00AE240D">
        <w:rPr>
          <w:rFonts w:ascii="Arial" w:hAnsi="Arial" w:cs="Arial"/>
        </w:rPr>
        <w:t xml:space="preserve">. Com base nos papéis de trabalho, verificou-se uma deficiência crítica no provimento de cargos efetivos, afetando a prestação de serviços essenciais e resultando em acúmulo de funções ou demandas significativas. Dos 25 cargos criados, 12 são preenchidos, comprometendo a eficiência dos serviços de média e alta complexidade inerentes ao cargo e forçando o acúmulo de funções. Dos dois cargos, eletricista, dois cargos criados, 0% preenchidos por efetivos, risco eminente de interrupção de serviço essencial. Operador de máquina, dos 15 cargos criados, 8 preenchidos, sendo 4 por contrato emergencial, sobrecarga de trabalho e risco à eficiência. Motorista. Dos 20 cargos criados, 13 preenchidos, sendo 3 por contrato emergencial, exigindo que a condução de veículos por outros servidores deixe o caráter excepcional previsto na Lei nº 2.209, de 2009, e se torne permanente. Técnico em enfermagem. Discrepância entre o número de cargos criados em lei municipal e a demanda fática atual. Comprovada pela quantidade de contratações temporárias. Atendentes de educação. 30 cargos criados versus 45 vagas ocupadas. 27 por contrato temporário. Necessidade de adequação legal de 15 cargos. Merendeira servente. 22 cargos criados versus 26 vagas ocupadas. Contratações de complexidade média-alta não deveriam ser supridas por contratações temporárias de baixo nível de complexidade para não agravar a instabilidade administrativa. Porém, contrariando expressamente a orientação, a gestão decidiu realizar processo seletivo simplificado para atendimento dessas demandas permanentes, inclusive para o cargo de oficial administrativo. Foi confirmada a inconformidade relativa às contratações temporárias para o exercício da função de agente de combate a endemias em manifesta violação ao artigo 16 da Lei Federal nº 11.350, de 2026, que proíbe expressamente essa modalidade de provimento para o cargo, conforme já apontado na manifestação conclusiva do controle interno, processo 011.65.0299, de 2026. Constatou-se ainda a necessidade de regulamentação do controle de frequência, conforme o artigo 56, inciso II, do regime jurídico dos </w:t>
      </w:r>
      <w:r w:rsidRPr="00AE240D">
        <w:rPr>
          <w:rFonts w:ascii="Arial" w:hAnsi="Arial" w:cs="Arial"/>
        </w:rPr>
        <w:lastRenderedPageBreak/>
        <w:t>servidores públicos municipais, uma vez que o prefeito municipal, por meio da portaria 706, de 2025, dispensou os secretários municipais, o procurador jurídico e a assessora de imprensa do registro do ponto. É mandatório estabelecer via decreto um método alternativo de controle para os servidores legalmente dispensados, garantindo a plena conformidade legal ao registro de jornada. Até a presente data, o prefeito municipal não regulamentou o controle de jornada desses servidores que seguem dispensados do registro de ponto ou de qualquer outro tipo de controle. Em face dos achados de auditoria e com o objetivo de restabelecer a legalidade e otimizar a eficiência na gestão de pessoal, o Sistema de Controle Interno sugeriu, por meio da Recomendação nº 101, as seguintes providências. A análise subsequente à adequação da Lei Municipal, Lei nº 2.801, de 2018, visando incorporar a legislação à demanda fática e as necessidades estruturais da administração pública. A elaboração e publicação de decreto para regulamentação do controle de frequência, conforme determinado o artigo 56, inciso 2 do regime jurídico, estabelecendo o método de controle alternativo para os servidores dispensados do registro eletrônico, de modo a garantir a plena conformidade legal. Diante do cenário exposto, é imperativo ressaltar que, até a presente data, as recomendações expedidas pelo sistema de controle interno não foram acatadas pela gestão municipal. A administração permanece omissa quanto à realização de concurso público, à realização de processos seletivos e à normatização do controle de jornada, mantendo o quadro de irregularidades inalterado. Senhor Presidente, segue então o relatório. Tem bastante páginas.</w:t>
      </w:r>
    </w:p>
    <w:p w14:paraId="16D54319" w14:textId="77777777" w:rsidR="000716CD" w:rsidRPr="00AE240D" w:rsidRDefault="000716CD" w:rsidP="00E842F8">
      <w:pPr>
        <w:spacing w:after="0" w:line="360" w:lineRule="auto"/>
        <w:jc w:val="both"/>
        <w:rPr>
          <w:rFonts w:ascii="Arial" w:hAnsi="Arial" w:cs="Arial"/>
        </w:rPr>
      </w:pPr>
    </w:p>
    <w:p w14:paraId="0E7BDB3F" w14:textId="77777777" w:rsidR="000716CD" w:rsidRPr="00AE240D" w:rsidRDefault="000716CD" w:rsidP="00E842F8">
      <w:pPr>
        <w:spacing w:after="0" w:line="360" w:lineRule="auto"/>
        <w:jc w:val="both"/>
        <w:rPr>
          <w:rFonts w:ascii="Arial" w:hAnsi="Arial" w:cs="Arial"/>
        </w:rPr>
      </w:pPr>
      <w:r w:rsidRPr="00AE240D">
        <w:rPr>
          <w:rFonts w:ascii="Arial" w:hAnsi="Arial" w:cs="Arial"/>
        </w:rPr>
        <w:t>Senhora Presidente, como o requerimento foi meu do vereador, eu solicito que seja continuada a leitura na próxima sessão. Vamos fazer em três sessões e ler todo o relatório. Seria possível?</w:t>
      </w:r>
    </w:p>
    <w:p w14:paraId="4096A61A" w14:textId="77777777" w:rsidR="000716CD" w:rsidRPr="00AE240D" w:rsidRDefault="000716CD" w:rsidP="00E842F8">
      <w:pPr>
        <w:spacing w:after="0" w:line="360" w:lineRule="auto"/>
        <w:jc w:val="both"/>
        <w:rPr>
          <w:rFonts w:ascii="Arial" w:hAnsi="Arial" w:cs="Arial"/>
        </w:rPr>
      </w:pPr>
    </w:p>
    <w:p w14:paraId="6E6EFF58" w14:textId="77777777" w:rsidR="000716CD" w:rsidRPr="00AE240D" w:rsidRDefault="000716CD" w:rsidP="00E842F8">
      <w:pPr>
        <w:spacing w:after="0" w:line="360" w:lineRule="auto"/>
        <w:jc w:val="both"/>
        <w:rPr>
          <w:rFonts w:ascii="Arial" w:hAnsi="Arial" w:cs="Arial"/>
        </w:rPr>
      </w:pPr>
      <w:r w:rsidRPr="00AE240D">
        <w:rPr>
          <w:rFonts w:ascii="Arial" w:hAnsi="Arial" w:cs="Arial"/>
        </w:rPr>
        <w:t>Senhor Presidente, só uma dúvida. Até onde eu estava consultando o jurídico aqui, não é prerrogativa ficar lendo todo o relatório, sendo que o relatório está presente. E não é prerrogativa do vereador pedir para que leia todo ele, porque ela está presente, está na casa para todo mundo. Então, eu acho que não há necessidade. Mas, eu não sei o que o senhor que manda na sessão, que define, e os colegas também.</w:t>
      </w:r>
    </w:p>
    <w:p w14:paraId="3346D33F" w14:textId="77777777" w:rsidR="000716CD" w:rsidRPr="00AE240D" w:rsidRDefault="000716CD" w:rsidP="00E842F8">
      <w:pPr>
        <w:spacing w:after="0" w:line="360" w:lineRule="auto"/>
        <w:jc w:val="both"/>
        <w:rPr>
          <w:rFonts w:ascii="Arial" w:hAnsi="Arial" w:cs="Arial"/>
        </w:rPr>
      </w:pPr>
    </w:p>
    <w:p w14:paraId="3F22F087" w14:textId="77777777" w:rsidR="000716CD" w:rsidRPr="00AE240D" w:rsidRDefault="000716CD" w:rsidP="00E842F8">
      <w:pPr>
        <w:spacing w:after="0" w:line="360" w:lineRule="auto"/>
        <w:jc w:val="both"/>
        <w:rPr>
          <w:rFonts w:ascii="Arial" w:hAnsi="Arial" w:cs="Arial"/>
        </w:rPr>
      </w:pPr>
      <w:r w:rsidRPr="00AE240D">
        <w:rPr>
          <w:rFonts w:ascii="Arial" w:hAnsi="Arial" w:cs="Arial"/>
        </w:rPr>
        <w:lastRenderedPageBreak/>
        <w:t>Vamos, os vereadores que concordam, então, vamos botar para votação, né, vereadora ELIZA HELENA A. KONZEN? Eu penso assim, a ser importante, porque, quem sabe em outro momento a gente não, né, mas... Quantas folhas tem? 80 folhas? Páginas. Falta, eu não li nem... 5% eu acho que eu li. Pois é. Então, eu não sei, eu acho uma boa ideia essa questão então da gente ler um pouco cada vez, não sei, ou não ler, ou ler a conclusão, as considerações finais e fica disponível. Isso, vamos fazer isso e vai estar disponível no site da Câmara, né, para a população também poder acompanhar.</w:t>
      </w:r>
    </w:p>
    <w:p w14:paraId="3A724050" w14:textId="77777777" w:rsidR="000716CD" w:rsidRPr="00AE240D" w:rsidRDefault="000716CD" w:rsidP="00E842F8">
      <w:pPr>
        <w:spacing w:after="0" w:line="360" w:lineRule="auto"/>
        <w:jc w:val="both"/>
        <w:rPr>
          <w:rFonts w:ascii="Arial" w:hAnsi="Arial" w:cs="Arial"/>
        </w:rPr>
      </w:pPr>
    </w:p>
    <w:p w14:paraId="4C1A0BA9" w14:textId="77777777" w:rsidR="000716CD" w:rsidRPr="00AE240D" w:rsidRDefault="000716CD" w:rsidP="00E842F8">
      <w:pPr>
        <w:spacing w:after="0" w:line="360" w:lineRule="auto"/>
        <w:jc w:val="both"/>
        <w:rPr>
          <w:rFonts w:ascii="Arial" w:hAnsi="Arial" w:cs="Arial"/>
        </w:rPr>
      </w:pPr>
      <w:r w:rsidRPr="00AE240D">
        <w:rPr>
          <w:rFonts w:ascii="Arial" w:hAnsi="Arial" w:cs="Arial"/>
        </w:rPr>
        <w:t>O senhor presidente... Se demorar cinco dias, vamos levar cinco dias.</w:t>
      </w:r>
    </w:p>
    <w:p w14:paraId="1E3E40FE" w14:textId="77777777" w:rsidR="000716CD" w:rsidRPr="00AE240D" w:rsidRDefault="000716CD" w:rsidP="00E842F8">
      <w:pPr>
        <w:spacing w:after="0" w:line="360" w:lineRule="auto"/>
        <w:jc w:val="both"/>
        <w:rPr>
          <w:rFonts w:ascii="Arial" w:hAnsi="Arial" w:cs="Arial"/>
        </w:rPr>
      </w:pPr>
    </w:p>
    <w:p w14:paraId="555007A5" w14:textId="77777777" w:rsidR="000716CD" w:rsidRPr="00AE240D" w:rsidRDefault="000716CD" w:rsidP="00E842F8">
      <w:pPr>
        <w:spacing w:after="0" w:line="360" w:lineRule="auto"/>
        <w:jc w:val="both"/>
        <w:rPr>
          <w:rFonts w:ascii="Arial" w:hAnsi="Arial" w:cs="Arial"/>
        </w:rPr>
      </w:pPr>
      <w:r w:rsidRPr="00AE240D">
        <w:rPr>
          <w:rFonts w:ascii="Arial" w:hAnsi="Arial" w:cs="Arial"/>
        </w:rPr>
        <w:t>Vereador, até pela questão de tempo, como tem bastante páginas, é grande o documento, a gente iria ficar aqui até mais de meia-noite, que eu acho que não ia concluir os trabalhos. Então vamos seguir a tua sugestão, já que o requerimento, o pedido foi da parte do senhor, se fica bom assim para todos aqui da casa, vamos dividir em três, em três sessões, até porque para ficar registradas as informações. Todos concordam então?</w:t>
      </w:r>
    </w:p>
    <w:p w14:paraId="7A4227B2" w14:textId="77777777" w:rsidR="000716CD" w:rsidRPr="00AE240D" w:rsidRDefault="000716CD" w:rsidP="00E842F8">
      <w:pPr>
        <w:spacing w:after="0" w:line="360" w:lineRule="auto"/>
        <w:jc w:val="both"/>
        <w:rPr>
          <w:rFonts w:ascii="Arial" w:hAnsi="Arial" w:cs="Arial"/>
        </w:rPr>
      </w:pPr>
    </w:p>
    <w:p w14:paraId="56F9C0F0" w14:textId="77777777" w:rsidR="000716CD" w:rsidRPr="00AE240D" w:rsidRDefault="000716CD" w:rsidP="00E842F8">
      <w:pPr>
        <w:spacing w:after="0" w:line="360" w:lineRule="auto"/>
        <w:jc w:val="both"/>
        <w:rPr>
          <w:rFonts w:ascii="Arial" w:hAnsi="Arial" w:cs="Arial"/>
        </w:rPr>
      </w:pPr>
      <w:r w:rsidRPr="00AE240D">
        <w:rPr>
          <w:rFonts w:ascii="Arial" w:hAnsi="Arial" w:cs="Arial"/>
        </w:rPr>
        <w:t>Também não vejo necessidade. Eu acho que o documento está aqui. Vocês não acham necessário, porque vocês não querem que a população saiba o que está acontecendo no executivo e não estão deixando o vereador fiscalizar o executivo. Aí vocês são contrários. Com certeza. Com certeza.</w:t>
      </w:r>
    </w:p>
    <w:p w14:paraId="466B98F8" w14:textId="77777777" w:rsidR="000716CD" w:rsidRPr="00AE240D" w:rsidRDefault="000716CD" w:rsidP="00E842F8">
      <w:pPr>
        <w:spacing w:after="0" w:line="360" w:lineRule="auto"/>
        <w:jc w:val="both"/>
        <w:rPr>
          <w:rFonts w:ascii="Arial" w:hAnsi="Arial" w:cs="Arial"/>
        </w:rPr>
      </w:pPr>
    </w:p>
    <w:p w14:paraId="28D83D82"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Vamos dividir em três partes essa leitura. Vereadora ELIZA HELENA A. KONZEN, segue o prosseguimento dos nossos trabalhos. Então eu vou ler mais algumas páginas e daí fica para a próxima. Auditoria de conformidade, objetivo análise de regularidade de processos de contratação, a empresa </w:t>
      </w:r>
      <w:proofErr w:type="spellStart"/>
      <w:r w:rsidRPr="00AE240D">
        <w:rPr>
          <w:rFonts w:ascii="Arial" w:hAnsi="Arial" w:cs="Arial"/>
        </w:rPr>
        <w:t>Alcioneides</w:t>
      </w:r>
      <w:proofErr w:type="spellEnd"/>
      <w:r w:rsidRPr="00AE240D">
        <w:rPr>
          <w:rFonts w:ascii="Arial" w:hAnsi="Arial" w:cs="Arial"/>
        </w:rPr>
        <w:t xml:space="preserve"> Terezinha Gomes Maciel, referente à aquisição de bens e serviços de ornamentação e embelezamento urbano. Páscoa, Praça Aquiles Turra, no exercício de 2025. Departamento de Compras, licitações e contratos. Verificar a regularidade dos processos de contratação e pagamento à empresa. </w:t>
      </w:r>
      <w:proofErr w:type="spellStart"/>
      <w:r w:rsidRPr="00AE240D">
        <w:rPr>
          <w:rFonts w:ascii="Arial" w:hAnsi="Arial" w:cs="Arial"/>
        </w:rPr>
        <w:t>Alcioneides</w:t>
      </w:r>
      <w:proofErr w:type="spellEnd"/>
      <w:r w:rsidRPr="00AE240D">
        <w:rPr>
          <w:rFonts w:ascii="Arial" w:hAnsi="Arial" w:cs="Arial"/>
        </w:rPr>
        <w:t xml:space="preserve"> Terezinha Gomes Maciel, referentes à aquisição de bens e serviços de ornamentação e embelezamento urbano por meio de três requisitos formais específicos. A análise integral dos processos, incluindo parecer jurídico, </w:t>
      </w:r>
      <w:r w:rsidRPr="00AE240D">
        <w:rPr>
          <w:rFonts w:ascii="Arial" w:hAnsi="Arial" w:cs="Arial"/>
        </w:rPr>
        <w:lastRenderedPageBreak/>
        <w:t xml:space="preserve">termo de referência e fiscalização, a justificativa formal para o uso do artigo 95, parágrafo 2º, e a comprovação da publicidade nos sistemas oficiais. Conclusões. O exame documental revelou a existência de três contratações de bens e serviços de natureza essencialmente homogêneos, ornamentação e embelezamento urbano, com o mesmo fornecedor, no mesmo exercício financeiro, totalizando o montante de R$ 15.666. A soma dos empenhos para a Páscoa e para a Praça totalizam R$ 9.980, valor que a administração buscou enquadrar no regime de pronto pagamento simplificado. A segmentação da despesa total de natureza materialmente homogênea em três empenhos com o mesmo fornecedor configura fracionamento irregular da despesa vedada pelo artigo 65, parágrafo 1º da Lei de Licitações. A soma dos empenhos para a Páscoa, 9.980, ficou artificialmente abaixo do limite de R$ 10.000,00 para o pronto pagamento. O valor consolidado de R$ 15.666,00, entretanto, exige a utilização da dispensa de licitação por valor e não o regime simplificado. A manobra revela o objetivo de ilidir a aplicação da instrução processual completa, obrigatória mesmo nas contratações diretas mais simples. Portanto, ficou evidente que o artigo 95, parágrafo 2º, foi aplicado de forma inadequada e que o processo falhou gravemente no atendimento aos requisitos de instrução do artigo 72 da lei de licitações, que são mandatórios para toda a contratação direta, independentemente do regime de pagamento nos seguintes pontos. 2. Inexistência de justificativa formal para o pronto pagamento. O setor auditado não apresentou a justificativa formal para a utilização do artigo 95, parágrafo 2º da Lei nº 14.133, emitida pelo ordenador de despesas ou autoridade responsável, falhando em demonstrar a motivação e a adequação da hipótese legal para a adoção do regime excepcional de pronto pagamento. 2. Ausência de planejamento básico e controle jurídico. Não foram apresentados o parecer jurídico prévio, inviabilizando a avaliação da legalidade e a adequada especificação técnica do objeto. O objeto da contratação, ornamentação de Páscoa e embelezamento urbano, trata de uma despesa previsível e sazonal no calendário administrativo. Desse modo, o procedimento não se enquadra em qualquer hipótese de dispensa por urgência, pois a necessidade não decorre de evento imprevisível, tampouco coloca em risco a continuidade do serviço público essencial. Controle de preços parcial. No que se refere à estimativa de preços, constatou-se que apenas para a contratação no valor de 5.686 melhorias do mobiliário urbano na praça, foram apresentadas três cotações com fornecedores distintos, mitigando a irregularidade da ausência de pesquisa de mercado para essa parcela específica. No entanto, a documentação </w:t>
      </w:r>
      <w:r w:rsidRPr="00AE240D">
        <w:rPr>
          <w:rFonts w:ascii="Arial" w:hAnsi="Arial" w:cs="Arial"/>
        </w:rPr>
        <w:lastRenderedPageBreak/>
        <w:t xml:space="preserve">para os demais itens de Páscoa 9.980 e o processo consolidado de 15.666 ainda carecem da formalização da estimativa de preços e da justificativa de preço formalmente adotada pela autoridade. Inobservância da fiscalização, a ausência do relatório de recebimento definitivo dos bens e serviços. Compromete o controle sobre a execução contratual em desrespeito ao artigo 117, embora o artigo 95, parágrafo 2º, possa dispensar o contrato formal, o dever de fiscalização e a comprovação da entrega para a liquidação da despesa são inafastáveis. O setor não apresentou o relatório ou termo de recebimento definitivo dos bens e serviços, configurando falha grave na comprovação da execução do objeto contratual. Essa unidade central de controle interno verificou também que apenas os empenhos foram publicados no portal da Transparência Municipal. O setor responsável não apresentou justificativa formal para não publicação nos sistemas oficiais, licitação e portal nacional de contratações públicas. A publicação do aviso de contratação no PNCP é requisito de eficácia e validade para as contratações diretas, sendo a publicação exclusiva dos empenhos no portal da transparência insuficiente para atender à exigência legal de publicidade do ato de contratação. Portanto, o procedimento de contratação da empresa </w:t>
      </w:r>
      <w:proofErr w:type="spellStart"/>
      <w:r w:rsidRPr="00AE240D">
        <w:rPr>
          <w:rFonts w:ascii="Arial" w:hAnsi="Arial" w:cs="Arial"/>
        </w:rPr>
        <w:t>Alcioneides</w:t>
      </w:r>
      <w:proofErr w:type="spellEnd"/>
      <w:r w:rsidRPr="00AE240D">
        <w:rPr>
          <w:rFonts w:ascii="Arial" w:hAnsi="Arial" w:cs="Arial"/>
        </w:rPr>
        <w:t xml:space="preserve"> Terezinha Gomes Maciel demonstra inconformidade com a Lei nº 14.133. As falhas residem no fracionamento irregular da despesa e na deficiência crítica de instrução processual com a ausência de documentos essenciais para a validade do ato e a violação da fase de planejamento. Em coerência com as ações já recomendadas por esta unidade de controle em outros procedimentos, o controle interno recomendou a adoção das seguintes medidas corretivas. Abertura de processo administrativo, cumprimento integral da nova lei de licitações e contratos. A observância do artigo 161. Administrativo, cumprimento integral da nova lei de licitações e contratos. A observância do artigo 117 da nova lei de licitações e do artigo 63 da lei 4.320 de 1964, a regularização da publicidade. Considerando a reiteração das falhas críticas de instrução processual, essa unidade de controle interno encaminhou cópia integral do relatório de auditoria das recomendações emitidas e toda a documentação correlata ao Ministério Público e ao Tribunal de Contas, conforme o dever inafastável previsto no artigo 2º da Lei Municipal, nº 2.652, de 2015. Aí, os próximos eu leio na próxima sessão, senhor presidente. É. </w:t>
      </w:r>
      <w:proofErr w:type="gramStart"/>
      <w:r w:rsidRPr="00AE240D">
        <w:rPr>
          <w:rFonts w:ascii="Arial" w:hAnsi="Arial" w:cs="Arial"/>
        </w:rPr>
        <w:t>Tu leu</w:t>
      </w:r>
      <w:proofErr w:type="gramEnd"/>
      <w:r w:rsidRPr="00AE240D">
        <w:rPr>
          <w:rFonts w:ascii="Arial" w:hAnsi="Arial" w:cs="Arial"/>
        </w:rPr>
        <w:t xml:space="preserve"> quantas? Não fiz a conta. Ofício nº 52 de 2026. Assunto Projetos de Lei nº 3.323 e nº 3.324. Senhor Presidente, cumprimentando V. </w:t>
      </w:r>
      <w:proofErr w:type="spellStart"/>
      <w:r w:rsidRPr="00AE240D">
        <w:rPr>
          <w:rFonts w:ascii="Arial" w:hAnsi="Arial" w:cs="Arial"/>
        </w:rPr>
        <w:t>Ex</w:t>
      </w:r>
      <w:proofErr w:type="spellEnd"/>
      <w:r w:rsidRPr="00AE240D">
        <w:rPr>
          <w:rFonts w:ascii="Arial" w:hAnsi="Arial" w:cs="Arial"/>
        </w:rPr>
        <w:t xml:space="preserve">ª, encaminhamos para apreciação desta Egrégia Casa Legislativa os seguintes projetos de lei, acompanhados dos respectivos pareceres </w:t>
      </w:r>
      <w:r w:rsidRPr="00AE240D">
        <w:rPr>
          <w:rFonts w:ascii="Arial" w:hAnsi="Arial" w:cs="Arial"/>
        </w:rPr>
        <w:lastRenderedPageBreak/>
        <w:t xml:space="preserve">jurídicos. Projeto de lei nº 3.323, de 12 de junho de 2026, que autoriza a abertura de crédito especial no valor de R$ 305 mil. E projeto de lei nº 3.324, de 12 de junho de 2026, que abre créditos suplementares no montante de R$ 2.477 e dá outras providências. Solicita-se que as matérias sejam recebidas e distribuídas às comissões competentes para análise, com posterior apreciação e votação pelo plenário em regime de urgência, em razão da necessidade de adequação orçamentária para o regular andamento da execução orçamentária financeira do município. Atenciosamente, Júlio César </w:t>
      </w:r>
      <w:proofErr w:type="spellStart"/>
      <w:r w:rsidRPr="00AE240D">
        <w:rPr>
          <w:rFonts w:ascii="Arial" w:hAnsi="Arial" w:cs="Arial"/>
        </w:rPr>
        <w:t>Matiasi</w:t>
      </w:r>
      <w:proofErr w:type="spellEnd"/>
      <w:r w:rsidRPr="00AE240D">
        <w:rPr>
          <w:rFonts w:ascii="Arial" w:hAnsi="Arial" w:cs="Arial"/>
        </w:rPr>
        <w:t xml:space="preserve">, prefeito municipal. Excelentíssimo senhor presidente EVERTON PABLO DOS SANTOS TUSI. Assunto requerimento do vereador, 26ª sessão ordinária, 18 de maio de 2026, encaminha posicionamento do Executivo Municipal. Senhor Presidente, cumprimentamos Vossa Excelência e atentando a solicitação feita através do ofício 43 de 19 de maio do corrente ano e em atenção ao requerimento de autoria do vereador JONAS RIBEIRO referente à limpeza nas proximidades da entrada da Vila Glória. Em Brasília, Distrito Federal. O evento terá início às 9 horas e encerramento às 18. O encontro tem o objetivo central de articular o diálogo interfederativo do governo do Brasil com vereadoras e deputadas estaduais de todo o país, promovendo a articulação em torno de agendas comuns voltadas às mulheres. A iniciativa busca contribuir o fortalecimento da participação política das mulheres e o enfrentamento à violência política de gênero, formulando estratégias para a construção de um ambiente democrático, participativo, seguro e livre de todas as formas de violência. O evento também pretende potencializar o papel dos legislativos na garantia de direitos, ampliando o acesso das parlamentares a políticas e ações do governo federal para as mulheres e promovendo a disputativa sobre as demandas e os desafios dos territórios. São convidadas para prestigiar o encontro das ministras de Estado, senadoras, deputadas federais, estaduais, vereadoras e gestoras públicas. Certas de contarmos com sua valiosa presença, renovamos nossos votos de estima e consideração. Bom, ofício número 2, Conferência Municipal de Saúde. Senhor Presidente EVERTON PABLO DOS SANTOS TUSI, cumprimentamos inicialmente Vossa Senhoria e na oportunidade vimos por meio deste solicitar a cessão de espaço nas dependências da Câmara Municipal para a realização da Conferência Municipal de Saúde de </w:t>
      </w:r>
      <w:proofErr w:type="spellStart"/>
      <w:r w:rsidRPr="00AE240D">
        <w:rPr>
          <w:rFonts w:ascii="Arial" w:hAnsi="Arial" w:cs="Arial"/>
        </w:rPr>
        <w:t>Tuparendi</w:t>
      </w:r>
      <w:proofErr w:type="spellEnd"/>
      <w:r w:rsidRPr="00AE240D">
        <w:rPr>
          <w:rFonts w:ascii="Arial" w:hAnsi="Arial" w:cs="Arial"/>
        </w:rPr>
        <w:t xml:space="preserve">, etapa preparatória para a 10ª Conferência Estadual de Saúde do Rio Grande do Sul e para a 18ª Conferência Nacional de Saúde a realizar-se no dia 13 de julho de 2026. Certo de podermos contar com a costumeira atenção e apoio, aguardamos deferimento e nos colocamos à disposição </w:t>
      </w:r>
      <w:r w:rsidRPr="00AE240D">
        <w:rPr>
          <w:rFonts w:ascii="Arial" w:hAnsi="Arial" w:cs="Arial"/>
        </w:rPr>
        <w:lastRenderedPageBreak/>
        <w:t xml:space="preserve">para quaisquer esclarecimentos adicionais. Atenciosamente, Cleusa </w:t>
      </w:r>
      <w:proofErr w:type="spellStart"/>
      <w:r w:rsidRPr="00AE240D">
        <w:rPr>
          <w:rFonts w:ascii="Arial" w:hAnsi="Arial" w:cs="Arial"/>
        </w:rPr>
        <w:t>Rigão</w:t>
      </w:r>
      <w:proofErr w:type="spellEnd"/>
      <w:r w:rsidRPr="00AE240D">
        <w:rPr>
          <w:rFonts w:ascii="Arial" w:hAnsi="Arial" w:cs="Arial"/>
        </w:rPr>
        <w:t xml:space="preserve"> </w:t>
      </w:r>
      <w:proofErr w:type="spellStart"/>
      <w:r w:rsidRPr="00AE240D">
        <w:rPr>
          <w:rFonts w:ascii="Arial" w:hAnsi="Arial" w:cs="Arial"/>
        </w:rPr>
        <w:t>Facinello</w:t>
      </w:r>
      <w:proofErr w:type="spellEnd"/>
      <w:r w:rsidRPr="00AE240D">
        <w:rPr>
          <w:rFonts w:ascii="Arial" w:hAnsi="Arial" w:cs="Arial"/>
        </w:rPr>
        <w:t xml:space="preserve">, diretora do Departamento de Assistência Social. Esse é o mesmo. Prefeito Municipal. Atenciosamente, Clóvis Dispor, presidente da FICAT. Ao senhor EVERTON PABLO DOS SANTOS TUSI, solicitação de espaço para treinamento. O presidente da FICAT vem, por meio desse, solicitar a disponibilidade de espaço da Câmara Municipal para a realização de um treinamento no dia 20 de junho, durante o período diurno. O treinamento tem como objetivo promover formação e qualificação dos participantes, proporcionando momentos de aprendizagem, troca de experiências e aperfeiçoamento das atividades desenvolvidas pela feira. Sendo assim, solicitamos gentilmente a cedência do espaço e dos recursos disponíveis que possam auxiliar a realização do referido treinamento. Certos de podermos contarmos com sua atenção e colaboração, agradecemos antecipadamente e nos colocamos à disposição para quaisquer esclarecimentos. Atenciosamente, Clóvis Expor, presidente da FICAT 2026. Seriam essas as correspondências recebidas. Agora passamos para as expedidas. Ofício número 47, na oportunidade em que cumprimentamos V. </w:t>
      </w:r>
      <w:proofErr w:type="spellStart"/>
      <w:r w:rsidRPr="00AE240D">
        <w:rPr>
          <w:rFonts w:ascii="Arial" w:hAnsi="Arial" w:cs="Arial"/>
        </w:rPr>
        <w:t>Ex</w:t>
      </w:r>
      <w:proofErr w:type="spellEnd"/>
      <w:r w:rsidRPr="00AE240D">
        <w:rPr>
          <w:rFonts w:ascii="Arial" w:hAnsi="Arial" w:cs="Arial"/>
        </w:rPr>
        <w:t xml:space="preserve">ª, solicitamos o depósito da importância de R$ 158.750,00, referente ao repasse do mês de junho de 2026 para esta Casa Legislativa, conforme determinação constitucional e lei orgânica. Na certeza de podermos contar com o vosso pronto atendimento, reiteramos nossos votos de estima e consideração. Atenciosamente, EVERTON PABLO DOS SANTOS TUSI, presidente. Excelentíssimo senhor Júlio César </w:t>
      </w:r>
      <w:proofErr w:type="spellStart"/>
      <w:r w:rsidRPr="00AE240D">
        <w:rPr>
          <w:rFonts w:ascii="Arial" w:hAnsi="Arial" w:cs="Arial"/>
        </w:rPr>
        <w:t>Matiasi</w:t>
      </w:r>
      <w:proofErr w:type="spellEnd"/>
      <w:r w:rsidRPr="00AE240D">
        <w:rPr>
          <w:rFonts w:ascii="Arial" w:hAnsi="Arial" w:cs="Arial"/>
        </w:rPr>
        <w:t xml:space="preserve">, no momento em que lhe saudamos cordialmente, informamos que a Câmara Municipal de Vereadores realizou a 27ª Sessão Ordinária da 16ª Legislatura, no dia 1º de junho de 2026, às 19h. Segue a tramitação dos seguintes projetos. Obrigado vereadora ELIZA HELENA A. KONZEN. Comunicação de líderes. Convido agora o líder do prefeito para fazer uso da palavra. A palavra está à disposição caso queira se manifestar. Paraíso. Obrigado. Não farei uso. A palavra está à disposição caso queira se manifestar. A vereadora ELIZA HELENA A. KONZEN não fará uso. Convido agora o líder do partido PL para fazer o uso da palavra. A palavra está à disposição caso queira se manifestar. Não fará. Obrigado, vereador. Solicito aos vereadores que concordam para que os projetos de lei nº 3.323 e nº 3.324 tramitem em regime de urgência, permaneçam como estão, caso contrário manifestam-se. Não tendo nenhuma manifestação, damos a entrada em pauta dos seguintes projetos. Entrada de projeto. Projeto de lei nº 3.323, de 12 de junho de 2026, autoriza </w:t>
      </w:r>
      <w:r w:rsidRPr="00AE240D">
        <w:rPr>
          <w:rFonts w:ascii="Arial" w:hAnsi="Arial" w:cs="Arial"/>
        </w:rPr>
        <w:lastRenderedPageBreak/>
        <w:t>abertura de crédito especial no valor de R$ 305 mil, regime de urgência. Então solicito ao secretário da mesa para que faça a leitura da mensagem do projeto.</w:t>
      </w:r>
    </w:p>
    <w:p w14:paraId="0ABC6EC9" w14:textId="77777777" w:rsidR="000716CD" w:rsidRPr="00AE240D" w:rsidRDefault="000716CD" w:rsidP="00E842F8">
      <w:pPr>
        <w:spacing w:after="0" w:line="360" w:lineRule="auto"/>
        <w:jc w:val="both"/>
        <w:rPr>
          <w:rFonts w:ascii="Arial" w:hAnsi="Arial" w:cs="Arial"/>
        </w:rPr>
      </w:pPr>
    </w:p>
    <w:p w14:paraId="79F2BE3A" w14:textId="77777777" w:rsidR="000716CD" w:rsidRPr="00AE240D" w:rsidRDefault="000716CD" w:rsidP="00E842F8">
      <w:pPr>
        <w:spacing w:after="0" w:line="360" w:lineRule="auto"/>
        <w:jc w:val="both"/>
        <w:rPr>
          <w:rFonts w:ascii="Arial" w:hAnsi="Arial" w:cs="Arial"/>
        </w:rPr>
      </w:pPr>
      <w:r w:rsidRPr="00AE240D">
        <w:rPr>
          <w:rFonts w:ascii="Arial" w:hAnsi="Arial" w:cs="Arial"/>
        </w:rPr>
        <w:t>Senhor presidente, o projeto de lei 3.323 tem por finalidade abertura de crédito especial no orçamento municipal de 2026 com o objetivo de viabilizar o empenho das despesas destinadas ao pagamento dos profissionais da educação básica atuantes na educação em tempo integral. A necessidade da presente adequação orçamentária decorre da criação dessa classificação de despesa pelos órgãos do controle durante o exercício de 2026, fato posterior à elaboração e ao encaminhamento do projeto de lei orçamentário anual, tornando necessária a inclusão da respectiva dotação no orçamento vigente. Ressalta-se que o município está obrigado a realizar o empenho destas despesas na modalidade específica estabelecida sob pena de não atingir as metas de aplicação dos recursos do Fundeb previstas para o exercício, especialmente o percentual mínimo de 4% destinados aos profissionais vinculados à educação em tempo integral. Tanto as exigências relativas à aplicação dos recursos do Fundeb. Diante do exposto, contamos com a habitual compreensão e o apoio dos nobres vereadores para a apreciação e aprovação do presente projeto de lei em regime de urgência. Passo para estudo nas comissões. Projeto de lei nº 3.324, de 12 de junho de 2026. Abre créditos suplementares no montante de R$ 2.477.760,64 e dá outras providências. Regime de urgência. Solicito a secretária da mesa de leitura que faça a leitura da mensagem do projeto.</w:t>
      </w:r>
    </w:p>
    <w:p w14:paraId="7078B386" w14:textId="77777777" w:rsidR="000716CD" w:rsidRPr="00AE240D" w:rsidRDefault="000716CD" w:rsidP="00E842F8">
      <w:pPr>
        <w:spacing w:after="0" w:line="360" w:lineRule="auto"/>
        <w:jc w:val="both"/>
        <w:rPr>
          <w:rFonts w:ascii="Arial" w:hAnsi="Arial" w:cs="Arial"/>
        </w:rPr>
      </w:pPr>
    </w:p>
    <w:p w14:paraId="618C10A4"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Senhor presidente, pelo presente encaminhamos a apreciação desta Egrégia Casa Legislativa, o projeto de lei nº 3.324, datado de 12 de junho de 2026. O projeto de lei tem por finalidade promover a adequação no orçamento municipal de 2026, mediante abertura de créditos suplementares no montante de R$ 2.477.760,64. A regular execução das ações, programas e serviços públicos previstos para o exercício, possibilitando o adequado atendimento das demandas da administração municipal, considerando a necessidade de imediata adequação orçamentária para garantir a continuidade dos serviços públicos e o regular andamento da execução orçamentária e financeira do município, justifica a tramitação do presente projeto em regime de urgência. Diante do exposto, contamos com a habitual compreensão e o apoio dos nobres vereadores para a apreciação e aprovação do projeto de lei em regime de urgência. </w:t>
      </w:r>
      <w:r w:rsidRPr="00AE240D">
        <w:rPr>
          <w:rFonts w:ascii="Arial" w:hAnsi="Arial" w:cs="Arial"/>
        </w:rPr>
        <w:lastRenderedPageBreak/>
        <w:t xml:space="preserve">Atenciosamente, Júlio César </w:t>
      </w:r>
      <w:proofErr w:type="spellStart"/>
      <w:r w:rsidRPr="00AE240D">
        <w:rPr>
          <w:rFonts w:ascii="Arial" w:hAnsi="Arial" w:cs="Arial"/>
        </w:rPr>
        <w:t>Matiasi</w:t>
      </w:r>
      <w:proofErr w:type="spellEnd"/>
      <w:r w:rsidRPr="00AE240D">
        <w:rPr>
          <w:rFonts w:ascii="Arial" w:hAnsi="Arial" w:cs="Arial"/>
        </w:rPr>
        <w:t xml:space="preserve">, Prefeito Municipal. Passo para estudo nas comissões. Apreciação e votação do projeto de lei. Projeto de lei nº 3.318, de 11 de maio de 2026, autoriza o Poder Executivo a contratar operação de crédito com a </w:t>
      </w:r>
      <w:proofErr w:type="spellStart"/>
      <w:r w:rsidRPr="00AE240D">
        <w:rPr>
          <w:rFonts w:ascii="Arial" w:hAnsi="Arial" w:cs="Arial"/>
        </w:rPr>
        <w:t>Badesul</w:t>
      </w:r>
      <w:proofErr w:type="spellEnd"/>
      <w:r w:rsidRPr="00AE240D">
        <w:rPr>
          <w:rFonts w:ascii="Arial" w:hAnsi="Arial" w:cs="Arial"/>
        </w:rPr>
        <w:t xml:space="preserve"> Desenvolvimento S.A., Agência de Fomento RS, para obras de infraestrutura no município de </w:t>
      </w:r>
      <w:proofErr w:type="spellStart"/>
      <w:r w:rsidRPr="00AE240D">
        <w:rPr>
          <w:rFonts w:ascii="Arial" w:hAnsi="Arial" w:cs="Arial"/>
        </w:rPr>
        <w:t>Tuparendi</w:t>
      </w:r>
      <w:proofErr w:type="spellEnd"/>
      <w:r w:rsidRPr="00AE240D">
        <w:rPr>
          <w:rFonts w:ascii="Arial" w:hAnsi="Arial" w:cs="Arial"/>
        </w:rPr>
        <w:t>. Então permanece estudo nas comissões. O projeto de lei nº 3.320, de 20 de maio de 2026, autoriza a abertura de crédito especial no valor de R$ 20.000. Então, solicito ao relator da Comissão de Constituição, Redação e Bem-Estar Social, que faça a leitura do seu parecer.</w:t>
      </w:r>
    </w:p>
    <w:p w14:paraId="5567523F" w14:textId="77777777" w:rsidR="000716CD" w:rsidRPr="00AE240D" w:rsidRDefault="000716CD" w:rsidP="00E842F8">
      <w:pPr>
        <w:spacing w:after="0" w:line="360" w:lineRule="auto"/>
        <w:jc w:val="both"/>
        <w:rPr>
          <w:rFonts w:ascii="Arial" w:hAnsi="Arial" w:cs="Arial"/>
        </w:rPr>
      </w:pPr>
    </w:p>
    <w:p w14:paraId="77CB1F96"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Boa noite, senhor presidente, colegas vereadores e vereadoras, a quem nos acompanha através das mídias sociais. Parecer número 14 de 2026. Executivo Municipal, objetivo autorizar a abertura de crédito especial no orçamento vigente no valor de R$ 20.000,00, junto à Secretaria Municipal da Agricultura e do Meio Ambiente, destinado à execução das ações previstas no convênio FPE nº 2571, de 2024. Associações de agricultores do município, visando fortalecer a agricultura familiar, melhorar as práticas de manejo do solo, ampliar a eficiência das atividades agropecuárias e fomentar a produção rural local. Os recursos para a cobertura de crédito decorrente de excesso de arrecadação, oriundo de transferências estaduais vinculadas ao referido convênio. É o relatório. Análise. Compete à Comissão de Constituição, Redação e Bem-Estar Social analisar os aspectos de constitucionalidade, legalidade, técnica legislativa e interesse público da matéria submetida à apreciação. Verifica-se que o projeto de lei encontra respaldo na legislação vigente, especialmente nos artigos 40, 41 e 43 da Lei Federal nº 4.320, de 1964, que disciplinam a abertura de créditos adicionais e estabelece a respectiva fonte de recurso. A matéria insere-se na competência do Poder Executivo Municipal para administrar o orçamento e promover a adequada execução de políticas públicas municipais. Não havendo vícios de iniciativa ou de constitucionalidade, quanto à técnica legislativa, o projeto apresenta redação clara, objetiva e compatível com as normas legais aplicáveis. Práticas de manejo de forrageiras, cobertura de solo, produção de silagem e da preparação de lavoura, refletindo diariamente no aumento da produtividade e da sustentabilidade das atividades agropecuárias locais. Além disso, a abertura de crédito especial revela-se necessidade para viabilizar corretamente a execução financeira e orçamentária das ações previstas nos convênios, garantindo a adequação e aplicação dos recursos públicos recebidos pelo município. Conclusão. </w:t>
      </w:r>
      <w:r w:rsidRPr="00AE240D">
        <w:rPr>
          <w:rFonts w:ascii="Arial" w:hAnsi="Arial" w:cs="Arial"/>
        </w:rPr>
        <w:lastRenderedPageBreak/>
        <w:t>Diante do exposto, esta comissão manifesta pela constitucionalidade do Projeto de Lei nº 3.320, de 2026, pela legalidade da contratação temporária, pela adequação da técnica legislativa e, no mérito, pela sua aprovação. Assim, este parecer é favorável à aprovação do projeto de lei, cabendo ao plenário da Câmara Municipal deliberar quanto ao mérito administrativo e da conveniência política da matéria. Seria isso, Sr. Presidente.</w:t>
      </w:r>
    </w:p>
    <w:p w14:paraId="4687C27D" w14:textId="77777777" w:rsidR="000716CD" w:rsidRPr="00AE240D" w:rsidRDefault="000716CD" w:rsidP="00E842F8">
      <w:pPr>
        <w:spacing w:after="0" w:line="360" w:lineRule="auto"/>
        <w:jc w:val="both"/>
        <w:rPr>
          <w:rFonts w:ascii="Arial" w:hAnsi="Arial" w:cs="Arial"/>
        </w:rPr>
      </w:pPr>
    </w:p>
    <w:p w14:paraId="613D1F22" w14:textId="77777777" w:rsidR="000716CD" w:rsidRPr="00AE240D" w:rsidRDefault="000716CD" w:rsidP="00E842F8">
      <w:pPr>
        <w:spacing w:after="0" w:line="360" w:lineRule="auto"/>
        <w:jc w:val="both"/>
        <w:rPr>
          <w:rFonts w:ascii="Arial" w:hAnsi="Arial" w:cs="Arial"/>
        </w:rPr>
      </w:pPr>
      <w:r w:rsidRPr="00AE240D">
        <w:rPr>
          <w:rFonts w:ascii="Arial" w:hAnsi="Arial" w:cs="Arial"/>
        </w:rPr>
        <w:t>Obrigado, vereador JONAS RIBEIRO. Solicito ao relator da Comissão de Orçamento, Finança, Infraestrutura, Urbana e Rural que faça a leitura de seu parecer.</w:t>
      </w:r>
    </w:p>
    <w:p w14:paraId="00E04082" w14:textId="77777777" w:rsidR="000716CD" w:rsidRPr="00AE240D" w:rsidRDefault="000716CD" w:rsidP="00E842F8">
      <w:pPr>
        <w:spacing w:after="0" w:line="360" w:lineRule="auto"/>
        <w:jc w:val="both"/>
        <w:rPr>
          <w:rFonts w:ascii="Arial" w:hAnsi="Arial" w:cs="Arial"/>
        </w:rPr>
      </w:pPr>
    </w:p>
    <w:p w14:paraId="361776F2"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Boa noite, colegas. Boa noite a quem nos acompanha através das mídias sociais. Parecer número 14 de 2026. Aos oito dias do mês de junho de 2026, às 19h, reuniram-se ordinariamente os membros da Comissão de Orçamento, Finanças e Estrutura Urbana e Rural, na Câmara Municipal de Vereadores de </w:t>
      </w:r>
      <w:proofErr w:type="spellStart"/>
      <w:r w:rsidRPr="00AE240D">
        <w:rPr>
          <w:rFonts w:ascii="Arial" w:hAnsi="Arial" w:cs="Arial"/>
        </w:rPr>
        <w:t>Tuparendi</w:t>
      </w:r>
      <w:proofErr w:type="spellEnd"/>
      <w:r w:rsidRPr="00AE240D">
        <w:rPr>
          <w:rFonts w:ascii="Arial" w:hAnsi="Arial" w:cs="Arial"/>
        </w:rPr>
        <w:t xml:space="preserve">. Para análise do projeto de lei 3.320 de 20 de maio de 2026, de autoria do Poder Executivo Municipal, que autoriza a abertura de crédito especial no valor de R$ 20.000,00. Consulta Popular 2024. Conforme a justificativa apresentada pelo Executivo, os recursos serão destinados à aquisição de equipamentos agrícolas. Consistente, um rolo-faca destinado à aquisição de um ancinho espalhador e uma </w:t>
      </w:r>
      <w:proofErr w:type="spellStart"/>
      <w:r w:rsidRPr="00AE240D">
        <w:rPr>
          <w:rFonts w:ascii="Arial" w:hAnsi="Arial" w:cs="Arial"/>
        </w:rPr>
        <w:t>cegadeira</w:t>
      </w:r>
      <w:proofErr w:type="spellEnd"/>
      <w:r w:rsidRPr="00AE240D">
        <w:rPr>
          <w:rFonts w:ascii="Arial" w:hAnsi="Arial" w:cs="Arial"/>
        </w:rPr>
        <w:t xml:space="preserve"> de tambor </w:t>
      </w:r>
      <w:proofErr w:type="spellStart"/>
      <w:r w:rsidRPr="00AE240D">
        <w:rPr>
          <w:rFonts w:ascii="Arial" w:hAnsi="Arial" w:cs="Arial"/>
        </w:rPr>
        <w:t>tratorizada</w:t>
      </w:r>
      <w:proofErr w:type="spellEnd"/>
      <w:r w:rsidRPr="00AE240D">
        <w:rPr>
          <w:rFonts w:ascii="Arial" w:hAnsi="Arial" w:cs="Arial"/>
        </w:rPr>
        <w:t xml:space="preserve">, os quais serão disponibilizadas as associações de agricultores do município com o objetivo de fortalecer a agricultura familiar, ampliar a eficiência das atividades produtivas e fomentar práticas sustentáveis de manejo e conservação do solo. A abertura de crédito especial faz-se necessária em razão da inexistência de dotação orçamentária específica para a execução das despesas vinculadas ao referido convênio, bem como para viabilizar a utilização do saldo permanecente dos recursos conforme previsto termo aditivo firmando entre as partes. Análise. Compete a esta comissão manifestar-se acerca dos aspectos orçamentários, financeiros e de interesse relacionado à infraestrutura urbana e rural. Da matéria proposta, verifica-se que o projeto busca adequar o orçamento municipal à execução de convênio já celebrado, permitido a correção, aplicação dos recursos vinculados e assegurado a observância dos princípios da legalidade e da transparência na gestão pública. Sob o aspecto financeiro, o orçamento proposto apresenta justificativa suficiente para a abertura de crédito especial, atendendo exigências legais para a inclusão de dotação e expectativa destinada à execução do objetivo conveniado. No </w:t>
      </w:r>
      <w:r w:rsidRPr="00AE240D">
        <w:rPr>
          <w:rFonts w:ascii="Arial" w:hAnsi="Arial" w:cs="Arial"/>
        </w:rPr>
        <w:lastRenderedPageBreak/>
        <w:t xml:space="preserve">mérito, a matéria revela relevante interesse público, especialmente por contemplar investimentos voltados ao fortalecimento da agricultura familiar e ao desenvolvimento rural. Os equipamentos, ao serem adquiridos, contribuirão para a melhoria das condições de trabalho dos agricultores, para o aumento da produtividade e para o aperfeiçoamento das práticas de manejo das culturas e das forragens utilizadas na atividade agropecuária local. Além disso, a proposta possibilita adequada execução dos recursos oriundos da consulta popular, instrumento de participação social que reflete as demandas prioritárias da comunidade regional. Conclusão. Diante do exposto, a Comissão de Orçamento, Finanças e Infraestrutura Urbana e Rural manifesta-se favorável à tramitação e aprovação do projeto. Lei nº 3.320, de 2026, por entender que a matéria entende aos interesses públicos, apresenta viabilidade orçamentária e financeira e contribui para o fortalecimento das atividades agropecuárias desenvolvidas no município de </w:t>
      </w:r>
      <w:proofErr w:type="spellStart"/>
      <w:r w:rsidRPr="00AE240D">
        <w:rPr>
          <w:rFonts w:ascii="Arial" w:hAnsi="Arial" w:cs="Arial"/>
        </w:rPr>
        <w:t>Tuparendi</w:t>
      </w:r>
      <w:proofErr w:type="spellEnd"/>
      <w:r w:rsidRPr="00AE240D">
        <w:rPr>
          <w:rFonts w:ascii="Arial" w:hAnsi="Arial" w:cs="Arial"/>
        </w:rPr>
        <w:t xml:space="preserve">. E para constatar, eu relator, lavrarei a presente ata e com o respectivo parecer que a lida e achada de acordo será aprovada e devidamente assinada pelos membros da comissão. NERCI DE SOUZA, relator, Gisele </w:t>
      </w:r>
      <w:proofErr w:type="spellStart"/>
      <w:r w:rsidRPr="00AE240D">
        <w:rPr>
          <w:rFonts w:ascii="Arial" w:hAnsi="Arial" w:cs="Arial"/>
        </w:rPr>
        <w:t>Deggeroni</w:t>
      </w:r>
      <w:proofErr w:type="spellEnd"/>
      <w:r w:rsidRPr="00AE240D">
        <w:rPr>
          <w:rFonts w:ascii="Arial" w:hAnsi="Arial" w:cs="Arial"/>
        </w:rPr>
        <w:t xml:space="preserve"> </w:t>
      </w:r>
      <w:proofErr w:type="spellStart"/>
      <w:r w:rsidRPr="00AE240D">
        <w:rPr>
          <w:rFonts w:ascii="Arial" w:hAnsi="Arial" w:cs="Arial"/>
        </w:rPr>
        <w:t>Mattiazzi</w:t>
      </w:r>
      <w:proofErr w:type="spellEnd"/>
      <w:r w:rsidRPr="00AE240D">
        <w:rPr>
          <w:rFonts w:ascii="Arial" w:hAnsi="Arial" w:cs="Arial"/>
        </w:rPr>
        <w:t xml:space="preserve">, membro, Flávio </w:t>
      </w:r>
      <w:proofErr w:type="spellStart"/>
      <w:r w:rsidRPr="00AE240D">
        <w:rPr>
          <w:rFonts w:ascii="Arial" w:hAnsi="Arial" w:cs="Arial"/>
        </w:rPr>
        <w:t>Pawlak</w:t>
      </w:r>
      <w:proofErr w:type="spellEnd"/>
      <w:r w:rsidRPr="00AE240D">
        <w:rPr>
          <w:rFonts w:ascii="Arial" w:hAnsi="Arial" w:cs="Arial"/>
        </w:rPr>
        <w:t>, presidente.</w:t>
      </w:r>
    </w:p>
    <w:p w14:paraId="3D3AF2D7" w14:textId="77777777" w:rsidR="000716CD" w:rsidRPr="00AE240D" w:rsidRDefault="000716CD" w:rsidP="00E842F8">
      <w:pPr>
        <w:spacing w:after="0" w:line="360" w:lineRule="auto"/>
        <w:jc w:val="both"/>
        <w:rPr>
          <w:rFonts w:ascii="Arial" w:hAnsi="Arial" w:cs="Arial"/>
        </w:rPr>
      </w:pPr>
    </w:p>
    <w:p w14:paraId="1982E7A4" w14:textId="77777777" w:rsidR="000716CD" w:rsidRPr="00AE240D" w:rsidRDefault="000716CD" w:rsidP="00E842F8">
      <w:pPr>
        <w:spacing w:after="0" w:line="360" w:lineRule="auto"/>
        <w:jc w:val="both"/>
        <w:rPr>
          <w:rFonts w:ascii="Arial" w:hAnsi="Arial" w:cs="Arial"/>
        </w:rPr>
      </w:pPr>
      <w:r w:rsidRPr="00AE240D">
        <w:rPr>
          <w:rFonts w:ascii="Arial" w:hAnsi="Arial" w:cs="Arial"/>
        </w:rPr>
        <w:t>Obrigado, vereador NERCI DE SOUZA. O projeto está em discussão. Os vereadores que concordam com o projeto de lei permaneçam como estão, caso contrário manifestam-se. Aprovado por unanimidade de votos. Projeto de lei nº 3.321, de 21 de maio de 2026, autoriza abertura de crédito especial no valor de R$ 300 mil. Solicito ao relator da Comissão de Constituição, Redação e Bem-Estar Social que faça a leitura do parecer.</w:t>
      </w:r>
    </w:p>
    <w:p w14:paraId="4DFD47A2" w14:textId="77777777" w:rsidR="000716CD" w:rsidRPr="00AE240D" w:rsidRDefault="000716CD" w:rsidP="00E842F8">
      <w:pPr>
        <w:spacing w:after="0" w:line="360" w:lineRule="auto"/>
        <w:jc w:val="both"/>
        <w:rPr>
          <w:rFonts w:ascii="Arial" w:hAnsi="Arial" w:cs="Arial"/>
        </w:rPr>
      </w:pPr>
    </w:p>
    <w:p w14:paraId="08B1EF84"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Parecer 15 de 2026. Aos oito dias do mês de junho do ano de 2026, às 19h, reuniu-se ordinariamente os membros da Comissão de Constituição, Redação e Bem-Estar Social da Câmara Municipal de Vereadores de </w:t>
      </w:r>
      <w:proofErr w:type="spellStart"/>
      <w:r w:rsidRPr="00AE240D">
        <w:rPr>
          <w:rFonts w:ascii="Arial" w:hAnsi="Arial" w:cs="Arial"/>
        </w:rPr>
        <w:t>Tuparendi</w:t>
      </w:r>
      <w:proofErr w:type="spellEnd"/>
      <w:r w:rsidRPr="00AE240D">
        <w:rPr>
          <w:rFonts w:ascii="Arial" w:hAnsi="Arial" w:cs="Arial"/>
        </w:rPr>
        <w:t xml:space="preserve">. Para análise do projeto de lei 3.321 de 21 de maio de 2026. De iniciativa do Poder Executivo Municipal. O projeto em análise de iniciativa do Poder Executivo Municipal. Tem por objetivo autorizar a abertura de crédito especial. No orçamento municipal vigente. No valor de 300 mil reais. Junto ao gabinete do prefeito e vice-prefeito. Na ação de defesa civil. Destinada à aquisição de cestas básicas para distribuição gratuita à população atingida pela situação de estiagem declarada no município. Conforme exposto na mensagem justificativa, os recursos são oriundos do governo federal, por intermédio </w:t>
      </w:r>
      <w:r w:rsidRPr="00AE240D">
        <w:rPr>
          <w:rFonts w:ascii="Arial" w:hAnsi="Arial" w:cs="Arial"/>
        </w:rPr>
        <w:lastRenderedPageBreak/>
        <w:t xml:space="preserve">da Secretaria Nacional de Proteção e Defesa Civil, em decorrência do reconhecimento da situação de emergência decretada pelo município de </w:t>
      </w:r>
      <w:proofErr w:type="spellStart"/>
      <w:r w:rsidRPr="00AE240D">
        <w:rPr>
          <w:rFonts w:ascii="Arial" w:hAnsi="Arial" w:cs="Arial"/>
        </w:rPr>
        <w:t>Tuparendi</w:t>
      </w:r>
      <w:proofErr w:type="spellEnd"/>
      <w:r w:rsidRPr="00AE240D">
        <w:rPr>
          <w:rFonts w:ascii="Arial" w:hAnsi="Arial" w:cs="Arial"/>
        </w:rPr>
        <w:t xml:space="preserve">, por meio do Decreto Municipal nº 4.114, de 20 de março de 2026. Posteriormente homologado pelo Governo do Estado do Rio Grande do Sul e reconhecido pelo Governo Federal. A abertura de crédito especial visa possibilitar o empenho e a execução das despesas relacionadas à aquisição de cestas básicas destinadas aos munícipes diretamente afetados pela estiagem, especialmente aqueles vinculados às atividades agropecuárias e que sofreram impactos econômicos e sociais decorrente do evento climático adverso. É o relatório. Análise. Compete à Comissão de Constituição, Redação e Bem-Estar Social examinar os aspectos de constitucionalidade, legalidade, técnica legislativa e interesse público das proposições, submetidas à apreciação do Poder Legislativo. Verifica que a matéria encontra amparo legal nos artigos 40, 41 e 43 da Lei Federal nº 4 de 1964, que disciplina a abertura de créditos adicionais e estabelece as condições para sua efetivação. A fonte de custeio está devidamente identificada, consistindo em recursos transferidos pelo Governo Federal, por intermédio de Secretaria Nacional de Proteção e Defesa Civil, quanto à iniciativa legislativa, observa-se que o projeto trata de matéria orçamentária e administrativa, afeta a competência do Poder Executivo Municipal, inexistindo vícios de constitucionalidade, legalidade ou iniciativa. No tocante à técnica legislativa, o texto apresenta redação clara e objetiva, observando os requisitos formais exigidos para sua regular tramitação. Sobre o aspecto social e do interesse público, a proposição revela-se extremamente relevante, uma vez que busca assegurar a assistência alimentar às famílias atingidas pelos efeitos da estiagem que assolou o município. A medida permitirá a aquisição de cestas básicas destinadas aos cidadãos em situação de vulnerabilidade decorrente da emergência, reconhecida pelos entes estadual e federal, contribuindo para minimizar os impactos sociais e econômicos causados pelo desastre natural. Além disso, a abertura de crédito especial constitui providência indispensável para viabilizar a correta execução dos recursos federais recebidos pelo município, garantindo que o auxílio chegue de forma efetiva à população afetada. Conclusão. Diante do exposto, esta comissão manifesta-se pela constitucionalidade do Projeto de Lei nº 3.321, de 2026, pela legalidade, pela adequação de técnica legislativa e, no mérito, pela sua aprovação. Assim, esse parecer é favorável à aprovação do projeto de lei, cabendo ao plenário da Câmara Municipal </w:t>
      </w:r>
      <w:r w:rsidRPr="00AE240D">
        <w:rPr>
          <w:rFonts w:ascii="Arial" w:hAnsi="Arial" w:cs="Arial"/>
        </w:rPr>
        <w:lastRenderedPageBreak/>
        <w:t>deliberar quanto ao mérito administrativo e à conveniência política da matéria. Seria isso, Sr. Presidente.</w:t>
      </w:r>
    </w:p>
    <w:p w14:paraId="2D3E5061" w14:textId="77777777" w:rsidR="000716CD" w:rsidRPr="00AE240D" w:rsidRDefault="000716CD" w:rsidP="00E842F8">
      <w:pPr>
        <w:spacing w:after="0" w:line="360" w:lineRule="auto"/>
        <w:jc w:val="both"/>
        <w:rPr>
          <w:rFonts w:ascii="Arial" w:hAnsi="Arial" w:cs="Arial"/>
        </w:rPr>
      </w:pPr>
    </w:p>
    <w:p w14:paraId="4A9E6045" w14:textId="77777777" w:rsidR="000716CD" w:rsidRPr="00AE240D" w:rsidRDefault="000716CD" w:rsidP="00E842F8">
      <w:pPr>
        <w:spacing w:after="0" w:line="360" w:lineRule="auto"/>
        <w:jc w:val="both"/>
        <w:rPr>
          <w:rFonts w:ascii="Arial" w:hAnsi="Arial" w:cs="Arial"/>
        </w:rPr>
      </w:pPr>
      <w:r w:rsidRPr="00AE240D">
        <w:rPr>
          <w:rFonts w:ascii="Arial" w:hAnsi="Arial" w:cs="Arial"/>
        </w:rPr>
        <w:t>Obrigado, vereador JONAS RIBEIRO, pela leitura do parecer. Agora solicito ao relator da Comissão de Orçamento, Finanças, Infraestrutura Urbana e Rural que faça a leitura do seu parecer.</w:t>
      </w:r>
    </w:p>
    <w:p w14:paraId="38E01866" w14:textId="77777777" w:rsidR="000716CD" w:rsidRPr="00AE240D" w:rsidRDefault="000716CD" w:rsidP="00E842F8">
      <w:pPr>
        <w:spacing w:after="0" w:line="360" w:lineRule="auto"/>
        <w:jc w:val="both"/>
        <w:rPr>
          <w:rFonts w:ascii="Arial" w:hAnsi="Arial" w:cs="Arial"/>
        </w:rPr>
      </w:pPr>
    </w:p>
    <w:p w14:paraId="0814D906"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Parecer número 15 de 2026. A situação foi formalmente reconhecida pelos governos estaduais e federais, possibilitando o acesso a recursos extraordinários destinados ao atendimento da população afetada pelos prejuízos decorrentes do evento climático. O projeto visa criar dotações orçamentárias específicas para permitir o empenho e a execução das despesas relacionadas à aquisição de distribuição de cestas básicas às famílias atingidas, especialmente aquelas que sofreram impacto econômico em decorrência de estiagem. Análise. Compete a esta comissão examinar os aspectos orçamentário, financeiro e de interesse público relacionado à matéria. Observe-se que a abertura de crédito especial </w:t>
      </w:r>
      <w:proofErr w:type="gramStart"/>
      <w:r w:rsidRPr="00AE240D">
        <w:rPr>
          <w:rFonts w:ascii="Arial" w:hAnsi="Arial" w:cs="Arial"/>
        </w:rPr>
        <w:t>mostra-se</w:t>
      </w:r>
      <w:proofErr w:type="gramEnd"/>
      <w:r w:rsidRPr="00AE240D">
        <w:rPr>
          <w:rFonts w:ascii="Arial" w:hAnsi="Arial" w:cs="Arial"/>
        </w:rPr>
        <w:t xml:space="preserve"> necessária, em razão da inexistência da dotação específica do orçamento vigente para a execução das despesas vinculadas aos recursos federais recebidos para enfrentamento de situação de emergência. Sobre o aspecto financeiro e orçamentário, a proposição atende ao princípio da legalidade da transferência e da correção dos recursos públicos, possibilitando a adequação das condições. Destinados ao atendimento de municípios diretamente afetados pela estiagem, especialmente famílias em situação de vulnerabilidade econômica e produtores rurais prejudicados pela escassez hídrica. A aquisição de cestas básicas constitui importante ação emergencial de assistência social, contribuindo para minimizar os impactos causados pelos desastres naturais e assegurar condições mínimas de subsistência às famílias atingidas. Além disso, a utilização dos recursos federais para esse fim está em consonância com os objetivos das políticas públicas de proteção à defesa civil, voltadas ao atendimento da população afetada por situação de calamidade ou emergência. Conclusão. Diante do exposto, a Comissão de Orçamento, Finanças e Infraestrutura Urbana e Rural manifesta-se favoravelmente à tramitação e aprovação do Projeto de Lei nº 3.321, de 2026, por entender que a matéria apresenta adequação orçamentária financeira, atende ao interesse público e possibilita a correta aplicação dos recursos federais destinados ao </w:t>
      </w:r>
      <w:r w:rsidRPr="00AE240D">
        <w:rPr>
          <w:rFonts w:ascii="Arial" w:hAnsi="Arial" w:cs="Arial"/>
        </w:rPr>
        <w:lastRenderedPageBreak/>
        <w:t xml:space="preserve">enfrentamento dos efeitos da estiagem que atingiu o município de </w:t>
      </w:r>
      <w:proofErr w:type="spellStart"/>
      <w:r w:rsidRPr="00AE240D">
        <w:rPr>
          <w:rFonts w:ascii="Arial" w:hAnsi="Arial" w:cs="Arial"/>
        </w:rPr>
        <w:t>Tuparendi</w:t>
      </w:r>
      <w:proofErr w:type="spellEnd"/>
      <w:r w:rsidRPr="00AE240D">
        <w:rPr>
          <w:rFonts w:ascii="Arial" w:hAnsi="Arial" w:cs="Arial"/>
        </w:rPr>
        <w:t xml:space="preserve">. E para constatar, eu, relator, lavrei a presente ata, com o respectivo parecer que lida e achada de acordo será aprovada e devidamente assinada pelos membros da comissão. NERCI DE SOUZA, relator, Gisele </w:t>
      </w:r>
      <w:proofErr w:type="spellStart"/>
      <w:r w:rsidRPr="00AE240D">
        <w:rPr>
          <w:rFonts w:ascii="Arial" w:hAnsi="Arial" w:cs="Arial"/>
        </w:rPr>
        <w:t>Deggeroni</w:t>
      </w:r>
      <w:proofErr w:type="spellEnd"/>
      <w:r w:rsidRPr="00AE240D">
        <w:rPr>
          <w:rFonts w:ascii="Arial" w:hAnsi="Arial" w:cs="Arial"/>
        </w:rPr>
        <w:t xml:space="preserve"> </w:t>
      </w:r>
      <w:proofErr w:type="spellStart"/>
      <w:r w:rsidRPr="00AE240D">
        <w:rPr>
          <w:rFonts w:ascii="Arial" w:hAnsi="Arial" w:cs="Arial"/>
        </w:rPr>
        <w:t>Mattiazzi</w:t>
      </w:r>
      <w:proofErr w:type="spellEnd"/>
      <w:r w:rsidRPr="00AE240D">
        <w:rPr>
          <w:rFonts w:ascii="Arial" w:hAnsi="Arial" w:cs="Arial"/>
        </w:rPr>
        <w:t xml:space="preserve">, membro, Flávio </w:t>
      </w:r>
      <w:proofErr w:type="spellStart"/>
      <w:r w:rsidRPr="00AE240D">
        <w:rPr>
          <w:rFonts w:ascii="Arial" w:hAnsi="Arial" w:cs="Arial"/>
        </w:rPr>
        <w:t>Pawlak</w:t>
      </w:r>
      <w:proofErr w:type="spellEnd"/>
      <w:r w:rsidRPr="00AE240D">
        <w:rPr>
          <w:rFonts w:ascii="Arial" w:hAnsi="Arial" w:cs="Arial"/>
        </w:rPr>
        <w:t>, presidente.</w:t>
      </w:r>
    </w:p>
    <w:p w14:paraId="22D67819" w14:textId="77777777" w:rsidR="000716CD" w:rsidRPr="00AE240D" w:rsidRDefault="000716CD" w:rsidP="00E842F8">
      <w:pPr>
        <w:spacing w:after="0" w:line="360" w:lineRule="auto"/>
        <w:jc w:val="both"/>
        <w:rPr>
          <w:rFonts w:ascii="Arial" w:hAnsi="Arial" w:cs="Arial"/>
        </w:rPr>
      </w:pPr>
    </w:p>
    <w:p w14:paraId="18CA2469" w14:textId="77777777" w:rsidR="000716CD" w:rsidRPr="00AE240D" w:rsidRDefault="000716CD" w:rsidP="00E842F8">
      <w:pPr>
        <w:spacing w:after="0" w:line="360" w:lineRule="auto"/>
        <w:jc w:val="both"/>
        <w:rPr>
          <w:rFonts w:ascii="Arial" w:hAnsi="Arial" w:cs="Arial"/>
        </w:rPr>
      </w:pPr>
      <w:r w:rsidRPr="00AE240D">
        <w:rPr>
          <w:rFonts w:ascii="Arial" w:hAnsi="Arial" w:cs="Arial"/>
        </w:rPr>
        <w:t>Obrigado, vereador NERCI DE SOUZA, por fazer a leitura do parecer. O projeto, então, de lei está em discussão. Os vereadores que concordam com o projeto de lei permanecem como estão, caso contrário, manifestam-se. Aprovado por unanimidade de votos. Então, não temos nenhum requerimento protocolado da Casa, mas temos os requerimentos verbais. Quem tem requerimento verbal aqui? Vereadora ELIZA HELENA A. KONZEN, quem mais? Um, vereadora. Um requerimento da vereadora ELIZA HELENA A. KONZEN. Vereadora ELIZA HELENA A. KONZEN, pode fazer a leitura do seu parecer, do seu requerimento.</w:t>
      </w:r>
    </w:p>
    <w:p w14:paraId="1DE39502" w14:textId="77777777" w:rsidR="000716CD" w:rsidRPr="00AE240D" w:rsidRDefault="000716CD" w:rsidP="00E842F8">
      <w:pPr>
        <w:spacing w:after="0" w:line="360" w:lineRule="auto"/>
        <w:jc w:val="both"/>
        <w:rPr>
          <w:rFonts w:ascii="Arial" w:hAnsi="Arial" w:cs="Arial"/>
        </w:rPr>
      </w:pPr>
    </w:p>
    <w:p w14:paraId="3ED81E6E"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Senhor presidente, colegas vereadores, a vereadora ELIZA HELENA A. KONZEN, no uso de suas atribuições legais e regimentais, vem respeitosamente requerer a vossa excelência a confecção e posterior entrega de uma placa de homenagem à Escola Estadual de Ensino Fundamental Andréa </w:t>
      </w:r>
      <w:proofErr w:type="spellStart"/>
      <w:r w:rsidRPr="00AE240D">
        <w:rPr>
          <w:rFonts w:ascii="Arial" w:hAnsi="Arial" w:cs="Arial"/>
        </w:rPr>
        <w:t>Parise</w:t>
      </w:r>
      <w:proofErr w:type="spellEnd"/>
      <w:r w:rsidRPr="00AE240D">
        <w:rPr>
          <w:rFonts w:ascii="Arial" w:hAnsi="Arial" w:cs="Arial"/>
        </w:rPr>
        <w:t xml:space="preserve">, em reconhecimento aos seus 70 anos de relevantes serviços prestados à comunidade de Cinquentenário e arredores. Justificativa. A presente solicitação tem por objetivo prestar justa homenagem à Escola Estadual de Ensino Fundamental Andréa </w:t>
      </w:r>
      <w:proofErr w:type="spellStart"/>
      <w:r w:rsidRPr="00AE240D">
        <w:rPr>
          <w:rFonts w:ascii="Arial" w:hAnsi="Arial" w:cs="Arial"/>
        </w:rPr>
        <w:t>Parise</w:t>
      </w:r>
      <w:proofErr w:type="spellEnd"/>
      <w:r w:rsidRPr="00AE240D">
        <w:rPr>
          <w:rFonts w:ascii="Arial" w:hAnsi="Arial" w:cs="Arial"/>
        </w:rPr>
        <w:t xml:space="preserve">, instituição que, ao longo dos seus 70 anos de história, tem desempenhado papel fundamental na formação educacional, humana e social de inúmeras gerações de crianças e adolescentes. Localizada na comunidade Cinquentenário, a escola tornou-se referência pela seriedade, compromisso e qualidade do trabalho desenvolvido junto à comunidade escolar. Atualmente, atende estudantes da educação infantil, em parceria com a Secretaria Municipal de Educação, e estudantes do primeiro ao nono ano do ensino fundamental, contribuindo significativamente para o desenvolvimento educacional e social da região. Do pertencimento à comunidade local, à identidade cultural do meio rural e à sustentabilidade, aspectos essenciais para a formação cidadã de seus educandos. A instituição é atualmente dirigida pela professora Franciele Perim </w:t>
      </w:r>
      <w:proofErr w:type="gramStart"/>
      <w:r w:rsidRPr="00AE240D">
        <w:rPr>
          <w:rFonts w:ascii="Arial" w:hAnsi="Arial" w:cs="Arial"/>
        </w:rPr>
        <w:t>de Conte</w:t>
      </w:r>
      <w:proofErr w:type="gramEnd"/>
      <w:r w:rsidRPr="00AE240D">
        <w:rPr>
          <w:rFonts w:ascii="Arial" w:hAnsi="Arial" w:cs="Arial"/>
        </w:rPr>
        <w:t xml:space="preserve">, tendo como vice-diretora a professora Solange Pagliari </w:t>
      </w:r>
      <w:proofErr w:type="spellStart"/>
      <w:r w:rsidRPr="00AE240D">
        <w:rPr>
          <w:rFonts w:ascii="Arial" w:hAnsi="Arial" w:cs="Arial"/>
        </w:rPr>
        <w:t>Caper</w:t>
      </w:r>
      <w:proofErr w:type="spellEnd"/>
      <w:r w:rsidRPr="00AE240D">
        <w:rPr>
          <w:rFonts w:ascii="Arial" w:hAnsi="Arial" w:cs="Arial"/>
        </w:rPr>
        <w:t xml:space="preserve">, profissionais que, juntamente com toda a equipe escolar, dão continuidade ao importante legado construído ao </w:t>
      </w:r>
      <w:r w:rsidRPr="00AE240D">
        <w:rPr>
          <w:rFonts w:ascii="Arial" w:hAnsi="Arial" w:cs="Arial"/>
        </w:rPr>
        <w:lastRenderedPageBreak/>
        <w:t xml:space="preserve">longo dessas sete décadas. Dessa forma, entende-se ser justa e merecida a homenagem por parte do Poder Legislativo Municipal, através da confecção e entrega de placa comemorativa alusiva aos 70 anos da Escola Estadual de Ensino Fundamental Andréa </w:t>
      </w:r>
      <w:proofErr w:type="spellStart"/>
      <w:r w:rsidRPr="00AE240D">
        <w:rPr>
          <w:rFonts w:ascii="Arial" w:hAnsi="Arial" w:cs="Arial"/>
        </w:rPr>
        <w:t>Parise</w:t>
      </w:r>
      <w:proofErr w:type="spellEnd"/>
      <w:r w:rsidRPr="00AE240D">
        <w:rPr>
          <w:rFonts w:ascii="Arial" w:hAnsi="Arial" w:cs="Arial"/>
        </w:rPr>
        <w:t xml:space="preserve">, reconhecendo sua relevante contribuição para a educação e para o desenvolvimento do município de </w:t>
      </w:r>
      <w:proofErr w:type="spellStart"/>
      <w:r w:rsidRPr="00AE240D">
        <w:rPr>
          <w:rFonts w:ascii="Arial" w:hAnsi="Arial" w:cs="Arial"/>
        </w:rPr>
        <w:t>Tuparendi</w:t>
      </w:r>
      <w:proofErr w:type="spellEnd"/>
      <w:r w:rsidRPr="00AE240D">
        <w:rPr>
          <w:rFonts w:ascii="Arial" w:hAnsi="Arial" w:cs="Arial"/>
        </w:rPr>
        <w:t>. Nesses termos, essa vereadora pede deferimento.</w:t>
      </w:r>
    </w:p>
    <w:p w14:paraId="04143E5A" w14:textId="77777777" w:rsidR="000716CD" w:rsidRPr="00AE240D" w:rsidRDefault="000716CD" w:rsidP="00E842F8">
      <w:pPr>
        <w:spacing w:after="0" w:line="360" w:lineRule="auto"/>
        <w:jc w:val="both"/>
        <w:rPr>
          <w:rFonts w:ascii="Arial" w:hAnsi="Arial" w:cs="Arial"/>
        </w:rPr>
      </w:pPr>
    </w:p>
    <w:p w14:paraId="17A8B4C0" w14:textId="77777777" w:rsidR="000716CD" w:rsidRPr="00AE240D" w:rsidRDefault="000716CD" w:rsidP="00E842F8">
      <w:pPr>
        <w:spacing w:after="0" w:line="360" w:lineRule="auto"/>
        <w:jc w:val="both"/>
        <w:rPr>
          <w:rFonts w:ascii="Arial" w:hAnsi="Arial" w:cs="Arial"/>
        </w:rPr>
      </w:pPr>
      <w:r w:rsidRPr="00AE240D">
        <w:rPr>
          <w:rFonts w:ascii="Arial" w:hAnsi="Arial" w:cs="Arial"/>
        </w:rPr>
        <w:t>Então o requerimento verbal da vereadora ELIZA HELENA A. KONZEN está em discussão. Passamos agora para a votação do presente requerimento. Os vereadores que concordam com o requerimento apresentado pela vereadora ELIZA HELENA A. KONZEN permaneçam como estão. Caso contrário, manifestam-se. Aprovado por unanimidade de votos. Passamos agora para as explicações pessoais. Convido o vereador Rafa Hermans para fazer o uso da palavra caso queira se manifestar. Vereador, a palavra está à disposição. Não fará. Convido o vereador JONAS RIBEIRO para fazer o uso da palavra caso queira se manifestar. Vereador, a palavra está à disposição. Não fará uso. Convido o vereador FRANCESCO DALLENOGARE para fazer o uso da palavra, caso queira se manifestar. Vereador, a palavra está à disposição.</w:t>
      </w:r>
    </w:p>
    <w:p w14:paraId="3E2AEA1D" w14:textId="77777777" w:rsidR="000716CD" w:rsidRPr="00AE240D" w:rsidRDefault="000716CD" w:rsidP="00E842F8">
      <w:pPr>
        <w:spacing w:after="0" w:line="360" w:lineRule="auto"/>
        <w:jc w:val="both"/>
        <w:rPr>
          <w:rFonts w:ascii="Arial" w:hAnsi="Arial" w:cs="Arial"/>
        </w:rPr>
      </w:pPr>
    </w:p>
    <w:p w14:paraId="0F643580"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Boa noite, senhor presidente, colegas vereadores, comunidade que nos acompanha através das redes sociais e através da rádio comunitária. Só gostaria de fazer um esclarecimento, mas um anúncio. Foi feito agora à noite nas redes sociais da Prefeitura Municipal e hoje o prefeito Júlio e o vice-prefeito </w:t>
      </w:r>
      <w:proofErr w:type="spellStart"/>
      <w:r w:rsidRPr="00AE240D">
        <w:rPr>
          <w:rFonts w:ascii="Arial" w:hAnsi="Arial" w:cs="Arial"/>
        </w:rPr>
        <w:t>Francione</w:t>
      </w:r>
      <w:proofErr w:type="spellEnd"/>
      <w:r w:rsidRPr="00AE240D">
        <w:rPr>
          <w:rFonts w:ascii="Arial" w:hAnsi="Arial" w:cs="Arial"/>
        </w:rPr>
        <w:t xml:space="preserve"> estão em Porto Alegre recebendo a entrega técnica de uma escavadeira hidráulica, então, primeira do município, vindo emenda de bancada indicada pelo deputado Giovanni Cherini, presidente estadual do Partido Liberal. Então, mais uma vez um agradecimento em público aqui ao deputado Giovanni Cherini, ao Partido Liberal, por esse importante equipamento, vereadora Gisele, que fará com certeza a diferença na Secretaria de Obras com os serviços prestados tanto na abertura e alargamento das estradas quanto atendimento também aos agricultores nos períodos de estiagem, vereador Flávio, fazer a limpeza de açudes, bebedouros de água, enfim, porque a gente sabe que o clima está cada vez mais severo. Então, só para reiterar e comunicar à comunidade, acredito eu que nos próximos 15, 20 dias será feita a entrega oficial em Porto Alegre, mas já está separada. A primeira escavadeira hidráulica adquirida após 50, 60 anos, mais de 60 anos do município, é a primeira escavadeira hidráulica </w:t>
      </w:r>
      <w:r w:rsidRPr="00AE240D">
        <w:rPr>
          <w:rFonts w:ascii="Arial" w:hAnsi="Arial" w:cs="Arial"/>
        </w:rPr>
        <w:lastRenderedPageBreak/>
        <w:t>que eu tenho conhecimento. A primeira escavadeira hidráulica que o município adquire. Então seria isso, senhor presidente. Uma ótima semana a todos os colegas vereadores e a comunidade e que Deus nos acompanhe.</w:t>
      </w:r>
    </w:p>
    <w:p w14:paraId="1265369C" w14:textId="77777777" w:rsidR="000716CD" w:rsidRPr="00AE240D" w:rsidRDefault="000716CD" w:rsidP="00E842F8">
      <w:pPr>
        <w:spacing w:after="0" w:line="360" w:lineRule="auto"/>
        <w:jc w:val="both"/>
        <w:rPr>
          <w:rFonts w:ascii="Arial" w:hAnsi="Arial" w:cs="Arial"/>
        </w:rPr>
      </w:pPr>
    </w:p>
    <w:p w14:paraId="4FECC09C" w14:textId="77777777" w:rsidR="000716CD" w:rsidRPr="00AE240D" w:rsidRDefault="000716CD" w:rsidP="00E842F8">
      <w:pPr>
        <w:spacing w:after="0" w:line="360" w:lineRule="auto"/>
        <w:jc w:val="both"/>
        <w:rPr>
          <w:rFonts w:ascii="Arial" w:hAnsi="Arial" w:cs="Arial"/>
        </w:rPr>
      </w:pPr>
      <w:r w:rsidRPr="00AE240D">
        <w:rPr>
          <w:rFonts w:ascii="Arial" w:hAnsi="Arial" w:cs="Arial"/>
        </w:rPr>
        <w:t>Obrigado, vereador, pelos esclarecimentos. Agora convido o vereador NERCI DE SOUZA para fazer o uso da palavra, caso queira se manifestar. Vereador, a palavra está à disposição do senhor.</w:t>
      </w:r>
    </w:p>
    <w:p w14:paraId="48A5F484" w14:textId="77777777" w:rsidR="000716CD" w:rsidRPr="00AE240D" w:rsidRDefault="000716CD" w:rsidP="00E842F8">
      <w:pPr>
        <w:spacing w:after="0" w:line="360" w:lineRule="auto"/>
        <w:jc w:val="both"/>
        <w:rPr>
          <w:rFonts w:ascii="Arial" w:hAnsi="Arial" w:cs="Arial"/>
        </w:rPr>
      </w:pPr>
    </w:p>
    <w:p w14:paraId="21A24F9C" w14:textId="77777777" w:rsidR="000716CD" w:rsidRPr="00AE240D" w:rsidRDefault="000716CD" w:rsidP="00E842F8">
      <w:pPr>
        <w:spacing w:after="0" w:line="360" w:lineRule="auto"/>
        <w:jc w:val="both"/>
        <w:rPr>
          <w:rFonts w:ascii="Arial" w:hAnsi="Arial" w:cs="Arial"/>
        </w:rPr>
      </w:pPr>
      <w:r w:rsidRPr="00AE240D">
        <w:rPr>
          <w:rFonts w:ascii="Arial" w:hAnsi="Arial" w:cs="Arial"/>
        </w:rPr>
        <w:t>Boa noite novamente à comunidade, aos colegas. Só gostaria de ocupar esse espaço para parabenizar a comunidade de Campininha, no dia de ontem teve a sua festa do padroeiro, a vereadora ELIZA HELENA A. KONZEN. Então, a comunidade é uma festa muito bonita, muito bem organizada, daquelas que ainda tem bastante costela no assado, importante isso nas comunidades, botar aquela carne tradicional, que o churrasco fica muito mais gostoso. Então, parabenizo aos organizadores pelo grande evento. Obrigado. Seria isso, presidente.</w:t>
      </w:r>
    </w:p>
    <w:p w14:paraId="6AD4DD79" w14:textId="77777777" w:rsidR="000716CD" w:rsidRPr="00AE240D" w:rsidRDefault="000716CD" w:rsidP="00E842F8">
      <w:pPr>
        <w:spacing w:after="0" w:line="360" w:lineRule="auto"/>
        <w:jc w:val="both"/>
        <w:rPr>
          <w:rFonts w:ascii="Arial" w:hAnsi="Arial" w:cs="Arial"/>
        </w:rPr>
      </w:pPr>
    </w:p>
    <w:p w14:paraId="034167F1"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Obrigado, vereador NERCI DE SOUZA. Convido agora a vereadora Gisele </w:t>
      </w:r>
      <w:proofErr w:type="spellStart"/>
      <w:r w:rsidRPr="00AE240D">
        <w:rPr>
          <w:rFonts w:ascii="Arial" w:hAnsi="Arial" w:cs="Arial"/>
        </w:rPr>
        <w:t>Deggeroni</w:t>
      </w:r>
      <w:proofErr w:type="spellEnd"/>
      <w:r w:rsidRPr="00AE240D">
        <w:rPr>
          <w:rFonts w:ascii="Arial" w:hAnsi="Arial" w:cs="Arial"/>
        </w:rPr>
        <w:t xml:space="preserve"> </w:t>
      </w:r>
      <w:proofErr w:type="spellStart"/>
      <w:r w:rsidRPr="00AE240D">
        <w:rPr>
          <w:rFonts w:ascii="Arial" w:hAnsi="Arial" w:cs="Arial"/>
        </w:rPr>
        <w:t>Mattiazzi</w:t>
      </w:r>
      <w:proofErr w:type="spellEnd"/>
      <w:r w:rsidRPr="00AE240D">
        <w:rPr>
          <w:rFonts w:ascii="Arial" w:hAnsi="Arial" w:cs="Arial"/>
        </w:rPr>
        <w:t xml:space="preserve"> para fazer uso da palavra, caso queira se manifestar. Vereadora, a palavra está à disposição. Não fará uso.</w:t>
      </w:r>
    </w:p>
    <w:p w14:paraId="7F3D3B20" w14:textId="77777777" w:rsidR="000716CD" w:rsidRPr="00AE240D" w:rsidRDefault="000716CD" w:rsidP="00E842F8">
      <w:pPr>
        <w:spacing w:after="0" w:line="360" w:lineRule="auto"/>
        <w:jc w:val="both"/>
        <w:rPr>
          <w:rFonts w:ascii="Arial" w:hAnsi="Arial" w:cs="Arial"/>
        </w:rPr>
      </w:pPr>
    </w:p>
    <w:p w14:paraId="6B122BC4"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Não fará uso. Senhor presidente, comunidade que nos assiste e também nos escuta, quero usar esse momento então para informar a comunidade sobre a resposta, primeiramente sobre a resposta de dois requerimentos então que essa vereadora fez, solicitou ao Poder Executivo e foi a comunidade que requereu através da minha pessoa, então eu quero usar esse espaço para dar retorno à comunidade. O primeiro deles, então, foi em referência à quadra de esportes aqui do lado do parque, em </w:t>
      </w:r>
      <w:proofErr w:type="spellStart"/>
      <w:r w:rsidRPr="00AE240D">
        <w:rPr>
          <w:rFonts w:ascii="Arial" w:hAnsi="Arial" w:cs="Arial"/>
        </w:rPr>
        <w:t>Riffenkauser</w:t>
      </w:r>
      <w:proofErr w:type="spellEnd"/>
      <w:r w:rsidRPr="00AE240D">
        <w:rPr>
          <w:rFonts w:ascii="Arial" w:hAnsi="Arial" w:cs="Arial"/>
        </w:rPr>
        <w:t xml:space="preserve">. A solicitação feita pela comunidade é de limpeza semanal, ao menos, dessa quadra para o uso, que está sendo muito usada, principalmente à noite. E também a marcação das linhas, que com o passar do tempo estão apagadas e dificultam a execução de algumas modalidades esportivas. Na devolutiva ou na resposta do executivo, então, eles disseram que a limpeza está sendo executada semanalmente e que trocaram algumas fechaduras dos banheiros, bem como organizaram de forma mais adequada a questão da </w:t>
      </w:r>
      <w:r w:rsidRPr="00AE240D">
        <w:rPr>
          <w:rFonts w:ascii="Arial" w:hAnsi="Arial" w:cs="Arial"/>
        </w:rPr>
        <w:lastRenderedPageBreak/>
        <w:t xml:space="preserve">caixinha de luz. Então, para cada equipe ligar e desligar conforme é usado, principalmente à noite. Mas que ainda falta, então, uma reforma na quadra, que com o passar do tempo ela vai se deteriorando. Em relação ao segundo requerimento, é em relação, então, àquelas pessoas que pediram para </w:t>
      </w:r>
      <w:proofErr w:type="gramStart"/>
      <w:r w:rsidRPr="00AE240D">
        <w:rPr>
          <w:rFonts w:ascii="Arial" w:hAnsi="Arial" w:cs="Arial"/>
        </w:rPr>
        <w:t>mim</w:t>
      </w:r>
      <w:proofErr w:type="gramEnd"/>
      <w:r w:rsidRPr="00AE240D">
        <w:rPr>
          <w:rFonts w:ascii="Arial" w:hAnsi="Arial" w:cs="Arial"/>
        </w:rPr>
        <w:t xml:space="preserve"> ver da Biblioteca Pública Municipal. A Biblioteca Pública Municipal, então, ela não está em funcionamento, desde o início desse governo, quem sabe no final do outro já. E as pessoas, então, me cobram em relação a isso. A resposta que veio é que o acervo que existia está no CRAS, lá nos Departamentos da Assistência Social, e que no mês de junho, então, a biblioteca pública seria reaberta ao público. Como nós estamos hoje no dia 15 de junho, penso que a comunidade vai ter que esperar ainda só alguns dias e a biblioteca pública, então, deve estar com suas portas abertas e o seu acervo, então, à disposição da comunidade. R$ 50 mil destinado à Escola Estadual de Educação Básica pelo deputado estadual Jefferson Fernandes. Foi o primeiro ano então que o deputado disponibilizou o recurso que ele tem para as emendas para as escolas. E a nossa escola, então, foi contemplada com R$ 50 mil. E agora, então, a escola vai organizar como executar esse recurso, que conversamos já com a diretora da escola. Os estudantes vão poder dizer quais as demandas, qual a demanda que eles querem que seja atendida com esses R$ 50 mil. E, por fim, agradecer os colegas que estiveram na comunidade de Campininha ontem, como o colega NERCI DE SOUZA mencionou. Nós tivemos a nossa festa da comunidade. As comunidades interioranas precisam sempre de todo o apoio do centro e de todas as outras comunidades, porque não é fácil manter viva uma comunidade. Quem trabalha nas comunidades sabe disso. E eu quero parabenizar o Antônio </w:t>
      </w:r>
      <w:proofErr w:type="spellStart"/>
      <w:r w:rsidRPr="00AE240D">
        <w:rPr>
          <w:rFonts w:ascii="Arial" w:hAnsi="Arial" w:cs="Arial"/>
        </w:rPr>
        <w:t>Engers</w:t>
      </w:r>
      <w:proofErr w:type="spellEnd"/>
      <w:r w:rsidRPr="00AE240D">
        <w:rPr>
          <w:rFonts w:ascii="Arial" w:hAnsi="Arial" w:cs="Arial"/>
        </w:rPr>
        <w:t xml:space="preserve"> e toda a diretoria da comunidade. Realizaram uma linda festa no dia de ontem. O dia também colaborou para isso. E, como eu disse ontem já, uma comunidade forte se faz com sócios colaborativos e participativos. E isso a comunidade de Campininha tem. Então agradecemos todos os sócios que colaboraram e todas as pessoas que prestigiaram então ontem a festa da comunidade. Seria isso, senhor presidente?</w:t>
      </w:r>
    </w:p>
    <w:p w14:paraId="3325F9C3" w14:textId="77777777" w:rsidR="000716CD" w:rsidRPr="00AE240D" w:rsidRDefault="000716CD" w:rsidP="00E842F8">
      <w:pPr>
        <w:spacing w:after="0" w:line="360" w:lineRule="auto"/>
        <w:jc w:val="both"/>
        <w:rPr>
          <w:rFonts w:ascii="Arial" w:hAnsi="Arial" w:cs="Arial"/>
        </w:rPr>
      </w:pPr>
    </w:p>
    <w:p w14:paraId="3182F284" w14:textId="77777777" w:rsidR="000716CD" w:rsidRPr="00AE240D" w:rsidRDefault="000716CD" w:rsidP="00E842F8">
      <w:pPr>
        <w:spacing w:after="0" w:line="360" w:lineRule="auto"/>
        <w:jc w:val="both"/>
        <w:rPr>
          <w:rFonts w:ascii="Arial" w:hAnsi="Arial" w:cs="Arial"/>
        </w:rPr>
      </w:pPr>
      <w:r w:rsidRPr="00AE240D">
        <w:rPr>
          <w:rFonts w:ascii="Arial" w:hAnsi="Arial" w:cs="Arial"/>
        </w:rPr>
        <w:t xml:space="preserve">Obrigado, vereadora ELIZA HELENA A. KONZEN. </w:t>
      </w:r>
    </w:p>
    <w:p w14:paraId="68969A38" w14:textId="77777777" w:rsidR="000716CD" w:rsidRPr="00AE240D" w:rsidRDefault="000716CD" w:rsidP="00E842F8">
      <w:pPr>
        <w:spacing w:after="0" w:line="360" w:lineRule="auto"/>
        <w:jc w:val="both"/>
        <w:rPr>
          <w:rFonts w:ascii="Arial" w:hAnsi="Arial" w:cs="Arial"/>
        </w:rPr>
      </w:pPr>
    </w:p>
    <w:p w14:paraId="2150D484" w14:textId="77777777" w:rsidR="008B67CD" w:rsidRPr="00AE240D" w:rsidRDefault="008B67CD" w:rsidP="00E842F8">
      <w:pPr>
        <w:spacing w:after="0" w:line="360" w:lineRule="auto"/>
        <w:jc w:val="both"/>
        <w:rPr>
          <w:rFonts w:ascii="Arial" w:hAnsi="Arial" w:cs="Arial"/>
        </w:rPr>
      </w:pPr>
    </w:p>
    <w:p w14:paraId="2BE3D97F" w14:textId="6F849A78" w:rsidR="008B67CD" w:rsidRPr="00AE240D" w:rsidRDefault="008B67CD" w:rsidP="00E842F8">
      <w:pPr>
        <w:spacing w:after="0" w:line="360" w:lineRule="auto"/>
        <w:jc w:val="both"/>
        <w:rPr>
          <w:rFonts w:ascii="Arial" w:hAnsi="Arial" w:cs="Arial"/>
        </w:rPr>
      </w:pPr>
      <w:r w:rsidRPr="00AE240D">
        <w:rPr>
          <w:rFonts w:ascii="Arial" w:hAnsi="Arial" w:cs="Arial"/>
        </w:rPr>
        <w:lastRenderedPageBreak/>
        <w:t>O presidente, vereador Everton Pablo dos Santos Tusi com a invocação do nome de Deus e da Pátria</w:t>
      </w:r>
      <w:r w:rsidRPr="00AE240D">
        <w:rPr>
          <w:rFonts w:ascii="Arial" w:eastAsia="Times New Roman" w:hAnsi="Arial" w:cs="Arial"/>
          <w:color w:val="000000"/>
          <w:kern w:val="28"/>
          <w:lang w:eastAsia="pt-BR"/>
        </w:rPr>
        <w:t xml:space="preserve">, </w:t>
      </w:r>
      <w:r w:rsidRPr="00AE240D">
        <w:rPr>
          <w:rFonts w:ascii="Arial" w:hAnsi="Arial" w:cs="Arial"/>
        </w:rPr>
        <w:t xml:space="preserve">encerrou a Vigésima </w:t>
      </w:r>
      <w:r w:rsidR="000716CD" w:rsidRPr="00AE240D">
        <w:rPr>
          <w:rFonts w:ascii="Arial" w:hAnsi="Arial" w:cs="Arial"/>
        </w:rPr>
        <w:t>Oitava</w:t>
      </w:r>
      <w:r w:rsidRPr="00AE240D">
        <w:rPr>
          <w:rFonts w:ascii="Arial" w:hAnsi="Arial" w:cs="Arial"/>
        </w:rPr>
        <w:t xml:space="preserve"> Sessão Ordinária, convocando os demais vereadores para a próxima Sessão, Vigésima </w:t>
      </w:r>
      <w:r w:rsidR="000716CD" w:rsidRPr="00AE240D">
        <w:rPr>
          <w:rFonts w:ascii="Arial" w:hAnsi="Arial" w:cs="Arial"/>
        </w:rPr>
        <w:t>Nona</w:t>
      </w:r>
      <w:r w:rsidRPr="00AE240D">
        <w:rPr>
          <w:rFonts w:ascii="Arial" w:hAnsi="Arial" w:cs="Arial"/>
        </w:rPr>
        <w:t xml:space="preserve"> Sessão Ordinária, que será realizada no próximo dia </w:t>
      </w:r>
      <w:r w:rsidR="000716CD" w:rsidRPr="00AE240D">
        <w:rPr>
          <w:rFonts w:ascii="Arial" w:hAnsi="Arial" w:cs="Arial"/>
        </w:rPr>
        <w:t>seis de julho</w:t>
      </w:r>
      <w:r w:rsidRPr="00AE240D">
        <w:rPr>
          <w:rFonts w:ascii="Arial" w:hAnsi="Arial" w:cs="Arial"/>
        </w:rPr>
        <w:t xml:space="preserve"> de dois mil e vinte e seis às dezenove horas, nas dependências da Câmara Municipal de Vereadores de </w:t>
      </w:r>
      <w:proofErr w:type="spellStart"/>
      <w:r w:rsidRPr="00AE240D">
        <w:rPr>
          <w:rFonts w:ascii="Arial" w:hAnsi="Arial" w:cs="Arial"/>
        </w:rPr>
        <w:t>Tuparendi</w:t>
      </w:r>
      <w:proofErr w:type="spellEnd"/>
      <w:r w:rsidRPr="00AE240D">
        <w:rPr>
          <w:rFonts w:ascii="Arial" w:hAnsi="Arial" w:cs="Arial"/>
        </w:rPr>
        <w:t xml:space="preserve">/RS, assim como para a reunião de trabalho das comissões a ser realizada no dia </w:t>
      </w:r>
      <w:r w:rsidR="000716CD" w:rsidRPr="00AE240D">
        <w:rPr>
          <w:rFonts w:ascii="Arial" w:hAnsi="Arial" w:cs="Arial"/>
        </w:rPr>
        <w:t xml:space="preserve">vinte e dois </w:t>
      </w:r>
      <w:r w:rsidRPr="00AE240D">
        <w:rPr>
          <w:rFonts w:ascii="Arial" w:hAnsi="Arial" w:cs="Arial"/>
        </w:rPr>
        <w:t>de junho de dois mil e vinte e seis, desejando a todos uma boa noite.</w:t>
      </w:r>
      <w:r w:rsidRPr="00AE240D">
        <w:rPr>
          <w:rFonts w:ascii="Arial" w:eastAsia="Times New Roman" w:hAnsi="Arial" w:cs="Arial"/>
          <w:kern w:val="28"/>
          <w:lang w:eastAsia="pt-BR"/>
        </w:rPr>
        <w:t xml:space="preserve">    </w:t>
      </w:r>
    </w:p>
    <w:p w14:paraId="5F1BB8FF" w14:textId="77777777" w:rsidR="008B67CD" w:rsidRPr="00AE240D" w:rsidRDefault="008B67CD" w:rsidP="00E842F8">
      <w:pPr>
        <w:keepNext/>
        <w:widowControl w:val="0"/>
        <w:overflowPunct w:val="0"/>
        <w:autoSpaceDE w:val="0"/>
        <w:autoSpaceDN w:val="0"/>
        <w:adjustRightInd w:val="0"/>
        <w:spacing w:after="0" w:line="360" w:lineRule="auto"/>
        <w:jc w:val="both"/>
        <w:rPr>
          <w:rFonts w:ascii="Arial" w:eastAsia="Times New Roman" w:hAnsi="Arial" w:cs="Arial"/>
          <w:kern w:val="28"/>
          <w:lang w:eastAsia="pt-BR"/>
        </w:rPr>
      </w:pPr>
    </w:p>
    <w:p w14:paraId="45950300" w14:textId="77777777" w:rsidR="008B67CD" w:rsidRPr="00AE240D" w:rsidRDefault="008B67CD" w:rsidP="00E842F8">
      <w:pPr>
        <w:keepNext/>
        <w:widowControl w:val="0"/>
        <w:overflowPunct w:val="0"/>
        <w:autoSpaceDE w:val="0"/>
        <w:autoSpaceDN w:val="0"/>
        <w:adjustRightInd w:val="0"/>
        <w:spacing w:after="0" w:line="360" w:lineRule="auto"/>
        <w:jc w:val="both"/>
        <w:rPr>
          <w:rFonts w:ascii="Arial" w:eastAsia="Times New Roman" w:hAnsi="Arial" w:cs="Arial"/>
          <w:kern w:val="28"/>
          <w:lang w:eastAsia="pt-BR"/>
        </w:rPr>
      </w:pPr>
      <w:r w:rsidRPr="00AE240D">
        <w:rPr>
          <w:rFonts w:ascii="Arial" w:eastAsia="Times New Roman" w:hAnsi="Arial" w:cs="Arial"/>
          <w:kern w:val="28"/>
          <w:lang w:eastAsia="pt-BR"/>
        </w:rPr>
        <w:t xml:space="preserve">                                                                                       </w:t>
      </w:r>
    </w:p>
    <w:p w14:paraId="00A0F437" w14:textId="77777777" w:rsidR="008B67CD" w:rsidRPr="00AE240D" w:rsidRDefault="008B67CD" w:rsidP="00E842F8">
      <w:pPr>
        <w:widowControl w:val="0"/>
        <w:tabs>
          <w:tab w:val="left" w:pos="3686"/>
        </w:tabs>
        <w:overflowPunct w:val="0"/>
        <w:autoSpaceDE w:val="0"/>
        <w:autoSpaceDN w:val="0"/>
        <w:adjustRightInd w:val="0"/>
        <w:spacing w:after="0" w:line="360" w:lineRule="auto"/>
        <w:ind w:right="51"/>
        <w:jc w:val="both"/>
        <w:rPr>
          <w:rFonts w:ascii="Arial" w:eastAsia="Times New Roman" w:hAnsi="Arial" w:cs="Arial"/>
          <w:lang w:eastAsia="pt-BR"/>
        </w:rPr>
      </w:pPr>
      <w:r w:rsidRPr="00AE240D">
        <w:rPr>
          <w:rFonts w:ascii="Arial" w:hAnsi="Arial" w:cs="Arial"/>
          <w:lang w:eastAsia="pt-BR"/>
        </w:rPr>
        <w:t xml:space="preserve">   </w:t>
      </w:r>
      <w:r w:rsidRPr="00AE240D">
        <w:rPr>
          <w:rFonts w:ascii="Arial" w:eastAsia="Times New Roman" w:hAnsi="Arial" w:cs="Arial"/>
          <w:lang w:eastAsia="pt-BR"/>
        </w:rPr>
        <w:t>___________________________                  ___________________________</w:t>
      </w:r>
      <w:r w:rsidRPr="00AE240D">
        <w:rPr>
          <w:rFonts w:ascii="Arial" w:eastAsia="Times New Roman" w:hAnsi="Arial" w:cs="Arial"/>
          <w:lang w:eastAsia="pt-BR"/>
        </w:rPr>
        <w:br/>
      </w:r>
      <w:r w:rsidRPr="00AE240D">
        <w:rPr>
          <w:rFonts w:ascii="Arial" w:hAnsi="Arial" w:cs="Arial"/>
        </w:rPr>
        <w:t xml:space="preserve">Eliza Helena </w:t>
      </w:r>
      <w:proofErr w:type="spellStart"/>
      <w:r w:rsidRPr="00AE240D">
        <w:rPr>
          <w:rFonts w:ascii="Arial" w:hAnsi="Arial" w:cs="Arial"/>
        </w:rPr>
        <w:t>Andrighetti</w:t>
      </w:r>
      <w:proofErr w:type="spellEnd"/>
      <w:r w:rsidRPr="00AE240D">
        <w:rPr>
          <w:rFonts w:ascii="Arial" w:hAnsi="Arial" w:cs="Arial"/>
        </w:rPr>
        <w:t xml:space="preserve"> Konzen </w:t>
      </w:r>
      <w:r w:rsidRPr="00AE240D">
        <w:rPr>
          <w:rFonts w:ascii="Arial" w:hAnsi="Arial" w:cs="Arial"/>
        </w:rPr>
        <w:tab/>
      </w:r>
      <w:r w:rsidRPr="00AE240D">
        <w:rPr>
          <w:rFonts w:ascii="Arial" w:hAnsi="Arial" w:cs="Arial"/>
        </w:rPr>
        <w:tab/>
      </w:r>
      <w:r w:rsidRPr="00AE240D">
        <w:rPr>
          <w:rFonts w:ascii="Arial" w:hAnsi="Arial" w:cs="Arial"/>
        </w:rPr>
        <w:tab/>
      </w:r>
      <w:r w:rsidRPr="00AE240D">
        <w:rPr>
          <w:rFonts w:ascii="Arial" w:hAnsi="Arial" w:cs="Arial"/>
        </w:rPr>
        <w:tab/>
        <w:t xml:space="preserve">     Everton Pablo dos Santos Tusi</w:t>
      </w:r>
    </w:p>
    <w:p w14:paraId="39C593F5" w14:textId="77777777" w:rsidR="008B67CD" w:rsidRPr="00AE240D" w:rsidRDefault="008B67CD" w:rsidP="00E842F8">
      <w:pPr>
        <w:widowControl w:val="0"/>
        <w:tabs>
          <w:tab w:val="left" w:pos="3686"/>
        </w:tabs>
        <w:overflowPunct w:val="0"/>
        <w:autoSpaceDE w:val="0"/>
        <w:autoSpaceDN w:val="0"/>
        <w:adjustRightInd w:val="0"/>
        <w:spacing w:after="0" w:line="360" w:lineRule="auto"/>
        <w:ind w:right="51"/>
        <w:jc w:val="both"/>
        <w:rPr>
          <w:rFonts w:ascii="Arial" w:eastAsia="Times New Roman" w:hAnsi="Arial" w:cs="Arial"/>
          <w:lang w:eastAsia="pt-BR"/>
        </w:rPr>
      </w:pPr>
      <w:r w:rsidRPr="00AE240D">
        <w:rPr>
          <w:rFonts w:ascii="Arial" w:eastAsia="Times New Roman" w:hAnsi="Arial" w:cs="Arial"/>
          <w:lang w:eastAsia="pt-BR"/>
        </w:rPr>
        <w:t xml:space="preserve">               Secretária                                                                                    Presidente</w:t>
      </w:r>
    </w:p>
    <w:p w14:paraId="6BC9FDC3" w14:textId="77777777" w:rsidR="008B67CD" w:rsidRPr="00AE240D" w:rsidRDefault="008B67CD" w:rsidP="00E842F8">
      <w:pPr>
        <w:pStyle w:val="Textbody"/>
        <w:spacing w:line="360" w:lineRule="auto"/>
        <w:rPr>
          <w:rFonts w:cs="Arial"/>
          <w:szCs w:val="22"/>
        </w:rPr>
      </w:pPr>
      <w:r w:rsidRPr="00AE240D">
        <w:rPr>
          <w:rFonts w:cs="Arial"/>
          <w:szCs w:val="22"/>
          <w:lang w:eastAsia="pt-BR"/>
        </w:rPr>
        <w:t xml:space="preserve">  </w:t>
      </w:r>
    </w:p>
    <w:p w14:paraId="3F190C63" w14:textId="77777777" w:rsidR="008B67CD" w:rsidRPr="00AE240D" w:rsidRDefault="008B67CD" w:rsidP="00E842F8">
      <w:pPr>
        <w:spacing w:after="0" w:line="360" w:lineRule="auto"/>
        <w:jc w:val="both"/>
        <w:rPr>
          <w:rFonts w:ascii="Arial" w:hAnsi="Arial" w:cs="Arial"/>
        </w:rPr>
      </w:pPr>
    </w:p>
    <w:p w14:paraId="51ABB629" w14:textId="77777777" w:rsidR="00405D59" w:rsidRPr="00AE240D" w:rsidRDefault="00405D59" w:rsidP="00E842F8">
      <w:pPr>
        <w:spacing w:after="0" w:line="360" w:lineRule="auto"/>
        <w:jc w:val="both"/>
        <w:rPr>
          <w:rFonts w:ascii="Arial" w:hAnsi="Arial" w:cs="Arial"/>
        </w:rPr>
      </w:pPr>
    </w:p>
    <w:sectPr w:rsidR="00405D59" w:rsidRPr="00AE240D" w:rsidSect="008B67CD">
      <w:headerReference w:type="default" r:id="rId6"/>
      <w:footerReference w:type="default" r:id="rId7"/>
      <w:pgSz w:w="12240" w:h="15840"/>
      <w:pgMar w:top="1418" w:right="1134" w:bottom="1134" w:left="170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81B39" w14:textId="77777777" w:rsidR="00E06D87" w:rsidRDefault="00E06D87">
      <w:pPr>
        <w:spacing w:after="0" w:line="240" w:lineRule="auto"/>
      </w:pPr>
      <w:r>
        <w:separator/>
      </w:r>
    </w:p>
  </w:endnote>
  <w:endnote w:type="continuationSeparator" w:id="0">
    <w:p w14:paraId="3AFFD40D" w14:textId="77777777" w:rsidR="00E06D87" w:rsidRDefault="00E0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571533"/>
      <w:docPartObj>
        <w:docPartGallery w:val="Page Numbers (Bottom of Page)"/>
        <w:docPartUnique/>
      </w:docPartObj>
    </w:sdtPr>
    <w:sdtContent>
      <w:p w14:paraId="2023CEEC" w14:textId="77777777" w:rsidR="00ED0B88" w:rsidRDefault="00000000">
        <w:pPr>
          <w:pStyle w:val="Rodap"/>
          <w:jc w:val="right"/>
        </w:pPr>
        <w:r>
          <w:fldChar w:fldCharType="begin"/>
        </w:r>
        <w:r>
          <w:instrText>PAGE   \* MERGEFORMAT</w:instrText>
        </w:r>
        <w:r>
          <w:fldChar w:fldCharType="separate"/>
        </w:r>
        <w:r>
          <w:t>2</w:t>
        </w:r>
        <w:r>
          <w:fldChar w:fldCharType="end"/>
        </w:r>
      </w:p>
    </w:sdtContent>
  </w:sdt>
  <w:p w14:paraId="18C5E809" w14:textId="77777777" w:rsidR="00ED0B88" w:rsidRDefault="00ED0B8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E37DA" w14:textId="77777777" w:rsidR="00E06D87" w:rsidRDefault="00E06D87">
      <w:pPr>
        <w:spacing w:after="0" w:line="240" w:lineRule="auto"/>
      </w:pPr>
      <w:r>
        <w:separator/>
      </w:r>
    </w:p>
  </w:footnote>
  <w:footnote w:type="continuationSeparator" w:id="0">
    <w:p w14:paraId="655AC4CE" w14:textId="77777777" w:rsidR="00E06D87" w:rsidRDefault="00E06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B3F6" w14:textId="77777777" w:rsidR="00ED0B88" w:rsidRDefault="00000000">
    <w:pPr>
      <w:keepNext/>
      <w:spacing w:after="0" w:line="360" w:lineRule="auto"/>
      <w:ind w:right="49"/>
      <w:rPr>
        <w:rFonts w:ascii="Arial" w:eastAsia="Times New Roman" w:hAnsi="Arial" w:cs="Arial"/>
        <w:sz w:val="24"/>
        <w:szCs w:val="24"/>
        <w:lang w:eastAsia="pt-BR"/>
      </w:rPr>
    </w:pPr>
    <w:r>
      <w:rPr>
        <w:rFonts w:ascii="Arial" w:eastAsia="Times New Roman" w:hAnsi="Arial" w:cs="Arial"/>
        <w:noProof/>
        <w:sz w:val="24"/>
        <w:szCs w:val="24"/>
        <w:lang w:eastAsia="pt-BR"/>
      </w:rPr>
      <w:object w:dxaOrig="1440" w:dyaOrig="1440" w14:anchorId="3EFD1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89.45pt;margin-top:1.5pt;width:89.25pt;height:87pt;z-index:251659264">
          <v:imagedata r:id="rId1" o:title=""/>
          <w10:wrap type="square" side="left"/>
        </v:shape>
        <o:OLEObject Type="Embed" ProgID="StaticMetafile" ShapeID="_x0000_s1025" DrawAspect="Content" ObjectID="_1845639918" r:id="rId2"/>
      </w:object>
    </w:r>
  </w:p>
  <w:p w14:paraId="5306E47E" w14:textId="77777777" w:rsidR="00ED0B88" w:rsidRDefault="00ED0B88">
    <w:pPr>
      <w:keepNext/>
      <w:spacing w:after="0" w:line="360" w:lineRule="auto"/>
      <w:ind w:left="-454" w:right="-964"/>
      <w:rPr>
        <w:rFonts w:ascii="Arial" w:eastAsia="Times New Roman" w:hAnsi="Arial" w:cs="Arial"/>
        <w:sz w:val="24"/>
        <w:szCs w:val="24"/>
        <w:lang w:eastAsia="pt-BR"/>
      </w:rPr>
    </w:pPr>
  </w:p>
  <w:p w14:paraId="4A78A6FD" w14:textId="77777777" w:rsidR="00ED0B88" w:rsidRDefault="00ED0B88">
    <w:pPr>
      <w:keepNext/>
      <w:spacing w:after="0" w:line="360" w:lineRule="auto"/>
      <w:ind w:left="-454" w:right="-964"/>
      <w:rPr>
        <w:rFonts w:ascii="Arial" w:eastAsia="Times New Roman" w:hAnsi="Arial" w:cs="Arial"/>
        <w:sz w:val="24"/>
        <w:szCs w:val="24"/>
        <w:lang w:eastAsia="pt-BR"/>
      </w:rPr>
    </w:pPr>
  </w:p>
  <w:p w14:paraId="11AB235C" w14:textId="77777777" w:rsidR="00ED0B88" w:rsidRDefault="00ED0B88">
    <w:pPr>
      <w:keepNext/>
      <w:spacing w:after="0" w:line="360" w:lineRule="auto"/>
      <w:ind w:left="-454" w:right="-964"/>
      <w:rPr>
        <w:rFonts w:ascii="Arial" w:eastAsia="Times New Roman" w:hAnsi="Arial" w:cs="Arial"/>
        <w:sz w:val="24"/>
        <w:szCs w:val="24"/>
        <w:lang w:eastAsia="pt-BR"/>
      </w:rPr>
    </w:pPr>
  </w:p>
  <w:p w14:paraId="6D784607" w14:textId="77777777" w:rsidR="00ED0B88" w:rsidRPr="003F2100" w:rsidRDefault="00ED0B88">
    <w:pPr>
      <w:keepNext/>
      <w:spacing w:after="0" w:line="360" w:lineRule="auto"/>
      <w:ind w:right="49"/>
      <w:rPr>
        <w:rFonts w:ascii="Arial" w:eastAsia="Times New Roman" w:hAnsi="Arial" w:cs="Arial"/>
        <w:sz w:val="24"/>
        <w:szCs w:val="24"/>
        <w:lang w:eastAsia="pt-BR"/>
      </w:rPr>
    </w:pPr>
  </w:p>
  <w:p w14:paraId="3A2370EE" w14:textId="77777777" w:rsidR="00ED0B88" w:rsidRPr="001C65EB" w:rsidRDefault="00000000">
    <w:pPr>
      <w:keepNext/>
      <w:spacing w:after="0" w:line="360" w:lineRule="auto"/>
      <w:ind w:right="49"/>
      <w:jc w:val="center"/>
      <w:rPr>
        <w:rFonts w:ascii="Arial" w:eastAsia="Times New Roman" w:hAnsi="Arial" w:cs="Arial"/>
        <w:b/>
        <w:sz w:val="24"/>
        <w:szCs w:val="24"/>
        <w:lang w:eastAsia="pt-BR"/>
      </w:rPr>
    </w:pPr>
    <w:r w:rsidRPr="001C65EB">
      <w:rPr>
        <w:rFonts w:ascii="Arial" w:eastAsia="Times New Roman" w:hAnsi="Arial" w:cs="Arial"/>
        <w:b/>
        <w:sz w:val="24"/>
        <w:szCs w:val="24"/>
        <w:lang w:eastAsia="pt-BR"/>
      </w:rPr>
      <w:t>ESTADO DO RIO GRANDE DO SUL</w:t>
    </w:r>
  </w:p>
  <w:p w14:paraId="7CB033FF" w14:textId="77777777" w:rsidR="00ED0B88" w:rsidRDefault="00000000">
    <w:pPr>
      <w:keepNext/>
      <w:spacing w:after="0" w:line="360" w:lineRule="auto"/>
      <w:ind w:right="49"/>
      <w:jc w:val="center"/>
      <w:rPr>
        <w:rFonts w:ascii="Arial" w:eastAsia="Times New Roman" w:hAnsi="Arial" w:cs="Arial"/>
        <w:b/>
        <w:bCs/>
        <w:sz w:val="24"/>
        <w:szCs w:val="24"/>
        <w:lang w:eastAsia="pt-BR"/>
      </w:rPr>
    </w:pPr>
    <w:r w:rsidRPr="001C65EB">
      <w:rPr>
        <w:rFonts w:ascii="Arial" w:eastAsia="Times New Roman" w:hAnsi="Arial" w:cs="Arial"/>
        <w:b/>
        <w:sz w:val="24"/>
        <w:szCs w:val="24"/>
        <w:lang w:eastAsia="pt-BR"/>
      </w:rPr>
      <w:t>CÂMARA</w:t>
    </w:r>
    <w:r w:rsidRPr="001C65EB">
      <w:rPr>
        <w:rFonts w:ascii="Arial" w:eastAsia="Times New Roman" w:hAnsi="Arial" w:cs="Arial"/>
        <w:b/>
        <w:bCs/>
        <w:sz w:val="24"/>
        <w:szCs w:val="24"/>
        <w:lang w:eastAsia="pt-BR"/>
      </w:rPr>
      <w:t xml:space="preserve"> MUNICIPAL DE TUPARENDI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7CD"/>
    <w:rsid w:val="00021F05"/>
    <w:rsid w:val="000716CD"/>
    <w:rsid w:val="00172C60"/>
    <w:rsid w:val="001B6A40"/>
    <w:rsid w:val="00405D59"/>
    <w:rsid w:val="007950E9"/>
    <w:rsid w:val="007C68EC"/>
    <w:rsid w:val="008B67CD"/>
    <w:rsid w:val="009B461F"/>
    <w:rsid w:val="009D1491"/>
    <w:rsid w:val="00AE240D"/>
    <w:rsid w:val="00C938D7"/>
    <w:rsid w:val="00E06D87"/>
    <w:rsid w:val="00E67C63"/>
    <w:rsid w:val="00E842F8"/>
    <w:rsid w:val="00ED0B88"/>
    <w:rsid w:val="00FA7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1716"/>
  <w15:chartTrackingRefBased/>
  <w15:docId w15:val="{CD2AFAA5-D82A-4313-80DE-E8579C3B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7CD"/>
    <w:pPr>
      <w:spacing w:after="200" w:line="276" w:lineRule="auto"/>
    </w:pPr>
    <w:rPr>
      <w:rFonts w:ascii="Calibri" w:eastAsia="Calibri" w:hAnsi="Calibri" w:cs="Times New Roman"/>
      <w:kern w:val="0"/>
      <w14:ligatures w14:val="none"/>
    </w:rPr>
  </w:style>
  <w:style w:type="paragraph" w:styleId="Ttulo1">
    <w:name w:val="heading 1"/>
    <w:basedOn w:val="Normal"/>
    <w:next w:val="Normal"/>
    <w:link w:val="Ttulo1Char"/>
    <w:uiPriority w:val="9"/>
    <w:qFormat/>
    <w:rsid w:val="008B67C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8B67C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8B67C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8B67CD"/>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Ttulo5">
    <w:name w:val="heading 5"/>
    <w:basedOn w:val="Normal"/>
    <w:next w:val="Normal"/>
    <w:link w:val="Ttulo5Char"/>
    <w:uiPriority w:val="9"/>
    <w:semiHidden/>
    <w:unhideWhenUsed/>
    <w:qFormat/>
    <w:rsid w:val="008B67CD"/>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Ttulo6">
    <w:name w:val="heading 6"/>
    <w:basedOn w:val="Normal"/>
    <w:next w:val="Normal"/>
    <w:link w:val="Ttulo6Char"/>
    <w:uiPriority w:val="9"/>
    <w:semiHidden/>
    <w:unhideWhenUsed/>
    <w:qFormat/>
    <w:rsid w:val="008B67CD"/>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8B67CD"/>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8B67CD"/>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8B67CD"/>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B67CD"/>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8B67CD"/>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8B67CD"/>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8B67CD"/>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8B67CD"/>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8B67C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B67C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B67C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B67CD"/>
    <w:rPr>
      <w:rFonts w:eastAsiaTheme="majorEastAsia" w:cstheme="majorBidi"/>
      <w:color w:val="272727" w:themeColor="text1" w:themeTint="D8"/>
    </w:rPr>
  </w:style>
  <w:style w:type="paragraph" w:styleId="Ttulo">
    <w:name w:val="Title"/>
    <w:basedOn w:val="Normal"/>
    <w:next w:val="Normal"/>
    <w:link w:val="TtuloChar"/>
    <w:uiPriority w:val="10"/>
    <w:qFormat/>
    <w:rsid w:val="008B67C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8B67C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B67C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8B67C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B67CD"/>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oChar">
    <w:name w:val="Citação Char"/>
    <w:basedOn w:val="Fontepargpadro"/>
    <w:link w:val="Citao"/>
    <w:uiPriority w:val="29"/>
    <w:rsid w:val="008B67CD"/>
    <w:rPr>
      <w:i/>
      <w:iCs/>
      <w:color w:val="404040" w:themeColor="text1" w:themeTint="BF"/>
    </w:rPr>
  </w:style>
  <w:style w:type="paragraph" w:styleId="PargrafodaLista">
    <w:name w:val="List Paragraph"/>
    <w:basedOn w:val="Normal"/>
    <w:uiPriority w:val="34"/>
    <w:qFormat/>
    <w:rsid w:val="008B67CD"/>
    <w:pPr>
      <w:spacing w:after="160" w:line="259" w:lineRule="auto"/>
      <w:ind w:left="720"/>
      <w:contextualSpacing/>
    </w:pPr>
    <w:rPr>
      <w:rFonts w:asciiTheme="minorHAnsi" w:eastAsiaTheme="minorHAnsi" w:hAnsiTheme="minorHAnsi" w:cstheme="minorBidi"/>
      <w:kern w:val="2"/>
      <w14:ligatures w14:val="standardContextual"/>
    </w:rPr>
  </w:style>
  <w:style w:type="character" w:styleId="nfaseIntensa">
    <w:name w:val="Intense Emphasis"/>
    <w:basedOn w:val="Fontepargpadro"/>
    <w:uiPriority w:val="21"/>
    <w:qFormat/>
    <w:rsid w:val="008B67CD"/>
    <w:rPr>
      <w:i/>
      <w:iCs/>
      <w:color w:val="2F5496" w:themeColor="accent1" w:themeShade="BF"/>
    </w:rPr>
  </w:style>
  <w:style w:type="paragraph" w:styleId="CitaoIntensa">
    <w:name w:val="Intense Quote"/>
    <w:basedOn w:val="Normal"/>
    <w:next w:val="Normal"/>
    <w:link w:val="CitaoIntensaChar"/>
    <w:uiPriority w:val="30"/>
    <w:qFormat/>
    <w:rsid w:val="008B67C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CitaoIntensaChar">
    <w:name w:val="Citação Intensa Char"/>
    <w:basedOn w:val="Fontepargpadro"/>
    <w:link w:val="CitaoIntensa"/>
    <w:uiPriority w:val="30"/>
    <w:rsid w:val="008B67CD"/>
    <w:rPr>
      <w:i/>
      <w:iCs/>
      <w:color w:val="2F5496" w:themeColor="accent1" w:themeShade="BF"/>
    </w:rPr>
  </w:style>
  <w:style w:type="character" w:styleId="RefernciaIntensa">
    <w:name w:val="Intense Reference"/>
    <w:basedOn w:val="Fontepargpadro"/>
    <w:uiPriority w:val="32"/>
    <w:qFormat/>
    <w:rsid w:val="008B67CD"/>
    <w:rPr>
      <w:b/>
      <w:bCs/>
      <w:smallCaps/>
      <w:color w:val="2F5496" w:themeColor="accent1" w:themeShade="BF"/>
      <w:spacing w:val="5"/>
    </w:rPr>
  </w:style>
  <w:style w:type="paragraph" w:styleId="Rodap">
    <w:name w:val="footer"/>
    <w:basedOn w:val="Normal"/>
    <w:link w:val="RodapChar"/>
    <w:uiPriority w:val="99"/>
    <w:unhideWhenUsed/>
    <w:rsid w:val="008B67CD"/>
    <w:pPr>
      <w:tabs>
        <w:tab w:val="center" w:pos="4252"/>
        <w:tab w:val="right" w:pos="8504"/>
      </w:tabs>
    </w:pPr>
  </w:style>
  <w:style w:type="character" w:customStyle="1" w:styleId="RodapChar">
    <w:name w:val="Rodapé Char"/>
    <w:basedOn w:val="Fontepargpadro"/>
    <w:link w:val="Rodap"/>
    <w:uiPriority w:val="99"/>
    <w:rsid w:val="008B67CD"/>
    <w:rPr>
      <w:rFonts w:ascii="Calibri" w:eastAsia="Calibri" w:hAnsi="Calibri" w:cs="Times New Roman"/>
      <w:kern w:val="0"/>
      <w14:ligatures w14:val="none"/>
    </w:rPr>
  </w:style>
  <w:style w:type="paragraph" w:customStyle="1" w:styleId="Textbody">
    <w:name w:val="Text body"/>
    <w:basedOn w:val="Normal"/>
    <w:rsid w:val="008B67CD"/>
    <w:pPr>
      <w:tabs>
        <w:tab w:val="left" w:pos="0"/>
        <w:tab w:val="left" w:pos="1134"/>
      </w:tabs>
      <w:suppressAutoHyphens/>
      <w:autoSpaceDN w:val="0"/>
      <w:spacing w:after="0" w:line="240" w:lineRule="auto"/>
      <w:jc w:val="both"/>
      <w:textAlignment w:val="baseline"/>
    </w:pPr>
    <w:rPr>
      <w:rFonts w:ascii="Arial" w:eastAsia="Times New Roman" w:hAnsi="Arial"/>
      <w:kern w:val="3"/>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10338</Words>
  <Characters>55831</Characters>
  <Application>Microsoft Office Word</Application>
  <DocSecurity>0</DocSecurity>
  <Lines>465</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Win11</dc:creator>
  <cp:keywords/>
  <dc:description/>
  <cp:lastModifiedBy>Win11</cp:lastModifiedBy>
  <cp:revision>6</cp:revision>
  <dcterms:created xsi:type="dcterms:W3CDTF">2026-06-30T18:07:00Z</dcterms:created>
  <dcterms:modified xsi:type="dcterms:W3CDTF">2026-07-15T19:59:00Z</dcterms:modified>
</cp:coreProperties>
</file>