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020475A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7773C">
        <w:rPr>
          <w:rFonts w:ascii="Times New Roman" w:hAnsi="Times New Roman" w:cs="Times New Roman"/>
          <w:sz w:val="21"/>
          <w:szCs w:val="21"/>
        </w:rPr>
        <w:t>340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65AFD7A9" w:rsidR="00D71796" w:rsidRDefault="00E7773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3256F83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E7773C">
              <w:rPr>
                <w:b/>
                <w:bCs/>
                <w:sz w:val="21"/>
                <w:szCs w:val="21"/>
              </w:rPr>
              <w:t>1.</w:t>
            </w:r>
            <w:r w:rsidR="00013E0C">
              <w:rPr>
                <w:b/>
                <w:bCs/>
                <w:sz w:val="21"/>
                <w:szCs w:val="21"/>
              </w:rPr>
              <w:t>614,60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C2B4FD2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D4718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7773C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7AD1438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013E0C">
        <w:rPr>
          <w:rFonts w:ascii="Times New Roman" w:hAnsi="Times New Roman"/>
          <w:sz w:val="21"/>
          <w:szCs w:val="21"/>
        </w:rPr>
        <w:t>1.641,60 (Hum Mil Seiscentos e Quarenta e Um Reais e Sessenta Centavos)</w:t>
      </w:r>
      <w:bookmarkStart w:id="4" w:name="_GoBack"/>
      <w:bookmarkEnd w:id="4"/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0ADCF326" w14:textId="3C12ED78" w:rsidR="00E7773C" w:rsidRPr="003A380E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2026:Manutenção do Ensino Fundamental</w:t>
      </w:r>
    </w:p>
    <w:p w14:paraId="46C10272" w14:textId="7FEC282F" w:rsid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3390 </w:t>
      </w:r>
      <w:r w:rsidR="0063436C">
        <w:rPr>
          <w:rFonts w:ascii="Times New Roman" w:hAnsi="Times New Roman"/>
          <w:b w:val="0"/>
          <w:bCs w:val="0"/>
          <w:sz w:val="21"/>
          <w:szCs w:val="21"/>
        </w:rPr>
        <w:t>30</w:t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– Material de Consumo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26A88E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7773C">
        <w:rPr>
          <w:rFonts w:ascii="Times New Roman" w:hAnsi="Times New Roman"/>
          <w:bCs/>
          <w:sz w:val="21"/>
          <w:szCs w:val="21"/>
        </w:rPr>
        <w:t>08 de agosto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2E7B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6EB0-6D34-46F3-BFE8-B72885D8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4</cp:revision>
  <cp:lastPrinted>2024-03-11T14:58:00Z</cp:lastPrinted>
  <dcterms:created xsi:type="dcterms:W3CDTF">2025-08-08T17:17:00Z</dcterms:created>
  <dcterms:modified xsi:type="dcterms:W3CDTF">2025-08-08T17:27:00Z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