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3EB58EBB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A1612A">
        <w:rPr>
          <w:rFonts w:ascii="Times New Roman" w:hAnsi="Times New Roman"/>
          <w:b/>
          <w:sz w:val="20"/>
        </w:rPr>
        <w:t>353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3915E5AD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A1612A">
        <w:rPr>
          <w:rFonts w:ascii="Times New Roman" w:hAnsi="Times New Roman"/>
          <w:sz w:val="20"/>
        </w:rPr>
        <w:t>388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0BE52BDB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6E6A24CA" w14:textId="77777777" w:rsidR="00A1612A" w:rsidRPr="00A1612A" w:rsidRDefault="00A1612A" w:rsidP="00A1612A">
            <w:pPr>
              <w:pStyle w:val="SemEspaamento"/>
              <w:rPr>
                <w:spacing w:val="-1"/>
                <w:w w:val="90"/>
                <w:sz w:val="20"/>
                <w:szCs w:val="20"/>
              </w:rPr>
            </w:pPr>
            <w:r w:rsidRPr="00A1612A">
              <w:rPr>
                <w:spacing w:val="-1"/>
                <w:sz w:val="20"/>
                <w:szCs w:val="20"/>
              </w:rPr>
              <w:t>Equipamento</w:t>
            </w:r>
            <w:r w:rsidRPr="00A1612A">
              <w:rPr>
                <w:sz w:val="20"/>
                <w:szCs w:val="20"/>
              </w:rPr>
              <w:t xml:space="preserve"> </w:t>
            </w:r>
            <w:r w:rsidRPr="00A1612A">
              <w:rPr>
                <w:spacing w:val="-1"/>
                <w:sz w:val="20"/>
                <w:szCs w:val="20"/>
              </w:rPr>
              <w:t>de</w:t>
            </w:r>
            <w:r w:rsidRPr="00A1612A">
              <w:rPr>
                <w:sz w:val="20"/>
                <w:szCs w:val="20"/>
              </w:rPr>
              <w:t xml:space="preserve"> </w:t>
            </w:r>
            <w:r w:rsidRPr="00A1612A">
              <w:rPr>
                <w:spacing w:val="-1"/>
                <w:sz w:val="20"/>
                <w:szCs w:val="20"/>
              </w:rPr>
              <w:t>sonorização</w:t>
            </w:r>
            <w:r w:rsidRPr="00A1612A">
              <w:rPr>
                <w:sz w:val="20"/>
                <w:szCs w:val="20"/>
              </w:rPr>
              <w:t xml:space="preserve"> e iluminação</w:t>
            </w:r>
            <w:r w:rsidRPr="00A1612A">
              <w:rPr>
                <w:spacing w:val="1"/>
                <w:sz w:val="20"/>
                <w:szCs w:val="20"/>
              </w:rPr>
              <w:t xml:space="preserve"> </w:t>
            </w:r>
            <w:r w:rsidRPr="00A1612A">
              <w:rPr>
                <w:sz w:val="20"/>
                <w:szCs w:val="20"/>
              </w:rPr>
              <w:t>de</w:t>
            </w:r>
            <w:r w:rsidRPr="00A1612A">
              <w:rPr>
                <w:spacing w:val="1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médio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porte e palco de médio porte para solenidades,</w:t>
            </w:r>
            <w:r w:rsidRPr="00A1612A">
              <w:rPr>
                <w:spacing w:val="-50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spacing w:val="-1"/>
                <w:w w:val="90"/>
                <w:sz w:val="20"/>
                <w:szCs w:val="20"/>
              </w:rPr>
              <w:t xml:space="preserve">palestras, inaugurações </w:t>
            </w:r>
            <w:r w:rsidRPr="00A1612A">
              <w:rPr>
                <w:w w:val="90"/>
                <w:sz w:val="20"/>
                <w:szCs w:val="20"/>
              </w:rPr>
              <w:t>e pequenas apresentações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spacing w:val="-1"/>
                <w:w w:val="90"/>
                <w:sz w:val="20"/>
                <w:szCs w:val="20"/>
              </w:rPr>
              <w:t xml:space="preserve">artísticas, diária </w:t>
            </w:r>
            <w:r w:rsidRPr="00A1612A">
              <w:rPr>
                <w:w w:val="90"/>
                <w:sz w:val="20"/>
                <w:szCs w:val="20"/>
              </w:rPr>
              <w:t>com duração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mínima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de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02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horas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e</w:t>
            </w:r>
            <w:r w:rsidRPr="00A1612A">
              <w:rPr>
                <w:spacing w:val="-50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máxima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de</w:t>
            </w:r>
            <w:r w:rsidRPr="00A1612A">
              <w:rPr>
                <w:spacing w:val="46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12</w:t>
            </w:r>
            <w:r w:rsidRPr="00A1612A">
              <w:rPr>
                <w:spacing w:val="47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horas, para</w:t>
            </w:r>
            <w:r w:rsidRPr="00A1612A">
              <w:rPr>
                <w:spacing w:val="47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os</w:t>
            </w:r>
            <w:r w:rsidRPr="00A1612A">
              <w:rPr>
                <w:spacing w:val="46"/>
                <w:sz w:val="20"/>
                <w:szCs w:val="20"/>
              </w:rPr>
              <w:t xml:space="preserve"> </w:t>
            </w:r>
            <w:r w:rsidRPr="00A1612A">
              <w:rPr>
                <w:w w:val="90"/>
                <w:sz w:val="20"/>
                <w:szCs w:val="20"/>
              </w:rPr>
              <w:t>quais serão exigidos,</w:t>
            </w:r>
            <w:r w:rsidRPr="00A1612A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spacing w:val="-2"/>
                <w:w w:val="90"/>
                <w:sz w:val="20"/>
                <w:szCs w:val="20"/>
              </w:rPr>
              <w:t>no</w:t>
            </w:r>
            <w:r w:rsidRPr="00A1612A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spacing w:val="-2"/>
                <w:w w:val="90"/>
                <w:sz w:val="20"/>
                <w:szCs w:val="20"/>
              </w:rPr>
              <w:t>mínimo,</w:t>
            </w:r>
            <w:r w:rsidRPr="00A1612A">
              <w:rPr>
                <w:spacing w:val="-11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spacing w:val="-1"/>
                <w:w w:val="90"/>
                <w:sz w:val="20"/>
                <w:szCs w:val="20"/>
              </w:rPr>
              <w:t>os</w:t>
            </w:r>
            <w:r w:rsidRPr="00A1612A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spacing w:val="-1"/>
                <w:w w:val="90"/>
                <w:sz w:val="20"/>
                <w:szCs w:val="20"/>
              </w:rPr>
              <w:t>seguintes</w:t>
            </w:r>
            <w:r w:rsidRPr="00A1612A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A1612A">
              <w:rPr>
                <w:spacing w:val="-1"/>
                <w:w w:val="90"/>
                <w:sz w:val="20"/>
                <w:szCs w:val="20"/>
              </w:rPr>
              <w:t>equipamentos:</w:t>
            </w:r>
          </w:p>
          <w:p w14:paraId="79124E6B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01 Mesa</w:t>
            </w:r>
            <w:r w:rsidRPr="00A1612A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de som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12</w:t>
            </w:r>
            <w:r w:rsidRPr="00A1612A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canais</w:t>
            </w:r>
          </w:p>
          <w:p w14:paraId="4E575495" w14:textId="77777777" w:rsidR="00A1612A" w:rsidRPr="00A1612A" w:rsidRDefault="00A1612A" w:rsidP="00A1612A">
            <w:pPr>
              <w:pStyle w:val="SemEspaamento"/>
              <w:rPr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01 Notebook</w:t>
            </w:r>
            <w:r w:rsidRPr="00A1612A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ou</w:t>
            </w:r>
            <w:r w:rsidRPr="00A1612A">
              <w:rPr>
                <w:spacing w:val="-1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CD</w:t>
            </w:r>
            <w:r w:rsidRPr="00A1612A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Player/MP3 com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2 canais</w:t>
            </w:r>
          </w:p>
          <w:p w14:paraId="0754BFC2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02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Amplificadores</w:t>
            </w:r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de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potência</w:t>
            </w:r>
          </w:p>
          <w:p w14:paraId="594D30F8" w14:textId="77777777" w:rsidR="00A1612A" w:rsidRPr="00A1612A" w:rsidRDefault="00A1612A" w:rsidP="00A1612A">
            <w:pPr>
              <w:pStyle w:val="SemEspaamento"/>
              <w:rPr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01</w:t>
            </w:r>
            <w:r w:rsidRPr="00A1612A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Equalizador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gráfico</w:t>
            </w:r>
          </w:p>
          <w:p w14:paraId="015C7C7B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06 Microfones dinâmicos com fio</w:t>
            </w:r>
          </w:p>
          <w:p w14:paraId="54201AC1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04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Microfones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sem</w:t>
            </w:r>
            <w:r w:rsidRPr="00A1612A">
              <w:rPr>
                <w:spacing w:val="-10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fio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(UHF)</w:t>
            </w:r>
          </w:p>
          <w:p w14:paraId="6EAF2E0F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spacing w:val="-1"/>
                <w:w w:val="90"/>
                <w:sz w:val="18"/>
                <w:szCs w:val="18"/>
              </w:rPr>
              <w:t>02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spacing w:val="-1"/>
                <w:w w:val="90"/>
                <w:sz w:val="18"/>
                <w:szCs w:val="18"/>
              </w:rPr>
              <w:t>Microfones</w:t>
            </w:r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Auriculares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ou</w:t>
            </w:r>
            <w:r w:rsidRPr="00A1612A">
              <w:rPr>
                <w:spacing w:val="-1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lapela</w:t>
            </w:r>
          </w:p>
          <w:p w14:paraId="5186F9D9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10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Pedestais</w:t>
            </w:r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para</w:t>
            </w:r>
            <w:r w:rsidRPr="00A1612A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Microfone</w:t>
            </w:r>
          </w:p>
          <w:p w14:paraId="422BD22C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02 Caixas Médias, Graves e Agudos com</w:t>
            </w:r>
            <w:r w:rsidRPr="00A1612A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amplificadores</w:t>
            </w:r>
            <w:r w:rsidRPr="00A1612A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compatíveis</w:t>
            </w:r>
          </w:p>
          <w:p w14:paraId="262AC1BF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02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Caixas</w:t>
            </w:r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proofErr w:type="gramStart"/>
            <w:r w:rsidRPr="00A1612A">
              <w:rPr>
                <w:w w:val="90"/>
                <w:sz w:val="18"/>
                <w:szCs w:val="18"/>
              </w:rPr>
              <w:t>Sub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Graves</w:t>
            </w:r>
            <w:proofErr w:type="gramEnd"/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com</w:t>
            </w:r>
            <w:r w:rsidRPr="00A1612A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amplificadores</w:t>
            </w:r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compatíveis</w:t>
            </w:r>
          </w:p>
          <w:p w14:paraId="5157751B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05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Cabos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P10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para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instrumentos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musicais</w:t>
            </w:r>
          </w:p>
          <w:p w14:paraId="233479E8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04</w:t>
            </w:r>
            <w:r w:rsidRPr="00A1612A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Monitores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para palco</w:t>
            </w:r>
            <w:r w:rsidRPr="00A1612A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ativos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ou</w:t>
            </w:r>
            <w:r w:rsidRPr="00A1612A">
              <w:rPr>
                <w:spacing w:val="-1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amplificados</w:t>
            </w:r>
          </w:p>
          <w:p w14:paraId="2F357EBE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08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Refletores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Par</w:t>
            </w:r>
            <w:r w:rsidRPr="00A1612A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Led</w:t>
            </w:r>
          </w:p>
          <w:p w14:paraId="324C011D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spacing w:val="-1"/>
                <w:w w:val="90"/>
                <w:sz w:val="18"/>
                <w:szCs w:val="18"/>
              </w:rPr>
              <w:t>02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spacing w:val="-1"/>
                <w:w w:val="90"/>
                <w:sz w:val="18"/>
                <w:szCs w:val="18"/>
              </w:rPr>
              <w:t>Treliças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spacing w:val="-1"/>
                <w:w w:val="90"/>
                <w:sz w:val="18"/>
                <w:szCs w:val="18"/>
              </w:rPr>
              <w:t>no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spacing w:val="-1"/>
                <w:w w:val="90"/>
                <w:sz w:val="18"/>
                <w:szCs w:val="18"/>
              </w:rPr>
              <w:t>formato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spacing w:val="-1"/>
                <w:w w:val="90"/>
                <w:sz w:val="18"/>
                <w:szCs w:val="18"/>
              </w:rPr>
              <w:t>de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spacing w:val="-1"/>
                <w:w w:val="90"/>
                <w:sz w:val="18"/>
                <w:szCs w:val="18"/>
              </w:rPr>
              <w:t>torre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com</w:t>
            </w:r>
            <w:r w:rsidRPr="00A1612A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altura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adequada</w:t>
            </w:r>
          </w:p>
          <w:p w14:paraId="28D370F4" w14:textId="77777777" w:rsidR="00A1612A" w:rsidRPr="00A1612A" w:rsidRDefault="00A1612A" w:rsidP="00A1612A">
            <w:pPr>
              <w:pStyle w:val="SemEspaamento"/>
              <w:rPr>
                <w:w w:val="90"/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01</w:t>
            </w:r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Mesa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de</w:t>
            </w:r>
            <w:r w:rsidRPr="00A1612A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controle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de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luz</w:t>
            </w:r>
          </w:p>
          <w:p w14:paraId="52A11C0D" w14:textId="77777777" w:rsidR="00A1612A" w:rsidRPr="00A1612A" w:rsidRDefault="00A1612A" w:rsidP="00A1612A">
            <w:pPr>
              <w:pStyle w:val="SemEspaamento"/>
              <w:rPr>
                <w:sz w:val="18"/>
                <w:szCs w:val="18"/>
              </w:rPr>
            </w:pPr>
            <w:r w:rsidRPr="00A1612A">
              <w:rPr>
                <w:w w:val="90"/>
                <w:sz w:val="18"/>
                <w:szCs w:val="18"/>
              </w:rPr>
              <w:t>01</w:t>
            </w:r>
            <w:r w:rsidRPr="00A1612A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Máquina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de</w:t>
            </w:r>
            <w:r w:rsidRPr="00A1612A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fumaça</w:t>
            </w:r>
          </w:p>
          <w:p w14:paraId="02D30FD7" w14:textId="0BFBB750" w:rsidR="00A1612A" w:rsidRPr="009C20FC" w:rsidRDefault="00A1612A" w:rsidP="00A1612A">
            <w:pPr>
              <w:pStyle w:val="SemEspaamento"/>
            </w:pPr>
            <w:r>
              <w:rPr>
                <w:spacing w:val="-1"/>
                <w:w w:val="90"/>
                <w:sz w:val="18"/>
                <w:szCs w:val="18"/>
              </w:rPr>
              <w:t xml:space="preserve">01 </w:t>
            </w:r>
            <w:r w:rsidRPr="00A1612A">
              <w:rPr>
                <w:spacing w:val="-1"/>
                <w:w w:val="90"/>
                <w:sz w:val="18"/>
                <w:szCs w:val="18"/>
              </w:rPr>
              <w:t>palco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spacing w:val="-1"/>
                <w:w w:val="90"/>
                <w:sz w:val="18"/>
                <w:szCs w:val="18"/>
              </w:rPr>
              <w:t>com</w:t>
            </w:r>
            <w:r w:rsidRPr="00A1612A">
              <w:rPr>
                <w:spacing w:val="-11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no</w:t>
            </w:r>
            <w:r w:rsidRPr="00A1612A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mínimo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5,5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</w:t>
            </w:r>
            <w:r w:rsidRPr="00A1612A">
              <w:rPr>
                <w:spacing w:val="-11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x</w:t>
            </w:r>
            <w:r w:rsidRPr="00A1612A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4</w:t>
            </w:r>
            <w:r w:rsidRPr="00A1612A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m</w:t>
            </w:r>
            <w:r w:rsidRPr="00A1612A">
              <w:rPr>
                <w:spacing w:val="-10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x</w:t>
            </w:r>
            <w:r w:rsidRPr="00A1612A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A1612A">
              <w:rPr>
                <w:w w:val="90"/>
                <w:sz w:val="18"/>
                <w:szCs w:val="18"/>
              </w:rPr>
              <w:t>0,5</w:t>
            </w:r>
          </w:p>
        </w:tc>
        <w:tc>
          <w:tcPr>
            <w:tcW w:w="1414" w:type="dxa"/>
          </w:tcPr>
          <w:p w14:paraId="7613586F" w14:textId="17E341D2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3.390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1248505A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3.390,00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50570685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A1612A">
        <w:rPr>
          <w:rFonts w:ascii="Times New Roman" w:hAnsi="Times New Roman"/>
          <w:sz w:val="20"/>
        </w:rPr>
        <w:t>3.390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A1612A">
        <w:rPr>
          <w:rFonts w:ascii="Times New Roman" w:hAnsi="Times New Roman"/>
          <w:sz w:val="20"/>
        </w:rPr>
        <w:t>Três Mil e Trezentos e Noventa</w:t>
      </w:r>
      <w:r w:rsidR="00580682">
        <w:rPr>
          <w:rFonts w:ascii="Times New Roman" w:hAnsi="Times New Roman"/>
          <w:sz w:val="20"/>
        </w:rPr>
        <w:t xml:space="preserve">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lastRenderedPageBreak/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311D835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2042-Ações de Estimulo, Promoção e Manutenção da Arte e Cultura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39C7FF0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367510">
        <w:rPr>
          <w:rFonts w:ascii="Times New Roman" w:hAnsi="Times New Roman"/>
          <w:color w:val="000000"/>
          <w:sz w:val="20"/>
        </w:rPr>
        <w:t>20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>de agosto</w:t>
      </w:r>
      <w:bookmarkStart w:id="0" w:name="_GoBack"/>
      <w:bookmarkEnd w:id="0"/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FF4B-3332-4C96-8D53-3297307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1349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4</cp:revision>
  <cp:lastPrinted>2025-04-22T17:54:00Z</cp:lastPrinted>
  <dcterms:created xsi:type="dcterms:W3CDTF">2025-07-14T17:05:00Z</dcterms:created>
  <dcterms:modified xsi:type="dcterms:W3CDTF">2025-08-19T14:17:00Z</dcterms:modified>
</cp:coreProperties>
</file>