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85A6" w14:textId="3642503F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369EF">
        <w:rPr>
          <w:rFonts w:ascii="Times New Roman" w:hAnsi="Times New Roman" w:cs="Times New Roman"/>
          <w:sz w:val="21"/>
          <w:szCs w:val="21"/>
        </w:rPr>
        <w:t>42</w:t>
      </w:r>
      <w:r w:rsidR="00E7152B">
        <w:rPr>
          <w:rFonts w:ascii="Times New Roman" w:hAnsi="Times New Roman" w:cs="Times New Roman"/>
          <w:sz w:val="21"/>
          <w:szCs w:val="21"/>
        </w:rPr>
        <w:t>6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5369EF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F1209" w:rsidRPr="009F1209">
        <w:rPr>
          <w:rFonts w:ascii="Times New Roman" w:hAnsi="Times New Roman" w:cs="Times New Roman"/>
          <w:sz w:val="21"/>
          <w:szCs w:val="21"/>
        </w:rPr>
        <w:t>CONTRATAÇÃO DE EMPRESA ESPECIALIZADA PARA FORNECIMENTO DE PRÓTESE DENTÁRIA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 SAÚDE</w:t>
      </w:r>
      <w:r w:rsidR="005D5AA4">
        <w:rPr>
          <w:rFonts w:ascii="Times New Roman" w:hAnsi="Times New Roman" w:cs="Times New Roman"/>
          <w:sz w:val="21"/>
          <w:szCs w:val="21"/>
        </w:rPr>
        <w:t xml:space="preserve"> – PREGÃO PRESENCIAL 00</w:t>
      </w:r>
      <w:r w:rsidR="009F1209">
        <w:rPr>
          <w:rFonts w:ascii="Times New Roman" w:hAnsi="Times New Roman" w:cs="Times New Roman"/>
          <w:sz w:val="21"/>
          <w:szCs w:val="21"/>
        </w:rPr>
        <w:t>7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3CC3F3FE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474241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698CDB6" w14:textId="7777777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9F1209" w:rsidRPr="0033395A">
        <w:rPr>
          <w:rFonts w:ascii="Times New Roman" w:hAnsi="Times New Roman"/>
          <w:b/>
          <w:sz w:val="21"/>
          <w:szCs w:val="21"/>
        </w:rPr>
        <w:t>ELIANE ANSCHAU DORNELES KREWER – ME</w:t>
      </w:r>
      <w:r w:rsidR="009F1209"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="009F1209" w:rsidRPr="0033395A">
        <w:rPr>
          <w:rFonts w:ascii="Times New Roman" w:hAnsi="Times New Roman"/>
          <w:sz w:val="21"/>
          <w:szCs w:val="21"/>
        </w:rPr>
        <w:t>inscrita no CNPJ n° 28.314.496/0001-97, com sede na Travessa Brasil, n° 119, bairro Centro, na cidade de Porto Xavier/RS, neste ato representada pela Sra. Eliane Anschau Dorneles Krewer, brasileira, portadora da carteira de identidade n° 9080249445, CPF n° 830.044.590-00, residente e domiciliada na na Travessa Brasil, n° 119, bairro Centro, na cidade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00</w:t>
      </w:r>
      <w:r w:rsidR="009F1209">
        <w:rPr>
          <w:rFonts w:ascii="Times New Roman" w:hAnsi="Times New Roman" w:cs="Times New Roman"/>
          <w:sz w:val="21"/>
          <w:szCs w:val="21"/>
          <w:lang w:val="pt-BR"/>
        </w:rPr>
        <w:t>7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F188CA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0BD955E4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BC0B02B" w14:textId="77777777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9F1209" w:rsidRPr="009F1209">
        <w:rPr>
          <w:rFonts w:ascii="Times New Roman" w:hAnsi="Times New Roman"/>
          <w:sz w:val="21"/>
          <w:szCs w:val="21"/>
        </w:rPr>
        <w:t>Contratação de Empresa para Confecção de Próteses Dentárias, para a Secretaria Municipal de Saúde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A333F22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5823BA7C" w14:textId="77777777" w:rsidTr="009F1209">
        <w:tc>
          <w:tcPr>
            <w:tcW w:w="831" w:type="dxa"/>
            <w:shd w:val="clear" w:color="auto" w:fill="auto"/>
          </w:tcPr>
          <w:p w14:paraId="3B09C93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01789F2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0B7EEED8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1F9D8D1E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7A3B8329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F1209" w:rsidRPr="00990A34" w14:paraId="77C9AC70" w14:textId="77777777" w:rsidTr="009F1209">
        <w:tc>
          <w:tcPr>
            <w:tcW w:w="831" w:type="dxa"/>
            <w:shd w:val="clear" w:color="auto" w:fill="auto"/>
          </w:tcPr>
          <w:p w14:paraId="2FDB8EC7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 w:rsidRPr="00990A34">
              <w:rPr>
                <w:sz w:val="21"/>
                <w:szCs w:val="21"/>
              </w:rPr>
              <w:t>02</w:t>
            </w:r>
          </w:p>
        </w:tc>
        <w:tc>
          <w:tcPr>
            <w:tcW w:w="616" w:type="dxa"/>
          </w:tcPr>
          <w:p w14:paraId="150132B3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250</w:t>
            </w:r>
          </w:p>
        </w:tc>
        <w:tc>
          <w:tcPr>
            <w:tcW w:w="5528" w:type="dxa"/>
            <w:shd w:val="clear" w:color="auto" w:fill="auto"/>
          </w:tcPr>
          <w:p w14:paraId="6A02BEAA" w14:textId="77777777" w:rsidR="009F1209" w:rsidRPr="00547BE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dentária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total superior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inferior. E</w:t>
            </w:r>
            <w:r w:rsidRPr="00547BE9">
              <w:rPr>
                <w:sz w:val="21"/>
                <w:szCs w:val="21"/>
              </w:rPr>
              <w:t>specificações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mínimas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procedimentos: procedimento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protético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prótese dentária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total – </w:t>
            </w:r>
            <w:r>
              <w:rPr>
                <w:sz w:val="21"/>
                <w:szCs w:val="21"/>
              </w:rPr>
              <w:t xml:space="preserve">Parte </w:t>
            </w:r>
            <w:r w:rsidRPr="00547BE9">
              <w:rPr>
                <w:sz w:val="21"/>
                <w:szCs w:val="21"/>
              </w:rPr>
              <w:t>superior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inferior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processo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fabricação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mufla,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resina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qualidade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termopolimerizável</w:t>
            </w:r>
            <w:proofErr w:type="spellEnd"/>
            <w:r w:rsidRPr="00547BE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dentes(</w:t>
            </w:r>
            <w:proofErr w:type="spellStart"/>
            <w:r w:rsidRPr="00547BE9">
              <w:rPr>
                <w:sz w:val="21"/>
                <w:szCs w:val="21"/>
              </w:rPr>
              <w:t>biotone</w:t>
            </w:r>
            <w:proofErr w:type="spellEnd"/>
            <w:r w:rsidRPr="00547BE9">
              <w:rPr>
                <w:sz w:val="21"/>
                <w:szCs w:val="21"/>
              </w:rPr>
              <w:t>)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acrílico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no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mínimo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duas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camadas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prensagem,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rolete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placa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godiva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de1mm; ausência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total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bolhas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porosidades; montagens,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remontagens,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 escultura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gengiva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finalização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tipo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“casca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laranja”, </w:t>
            </w:r>
            <w:proofErr w:type="spellStart"/>
            <w:r w:rsidRPr="00547BE9">
              <w:rPr>
                <w:sz w:val="21"/>
                <w:szCs w:val="21"/>
              </w:rPr>
              <w:t>acrilização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termo- </w:t>
            </w:r>
            <w:proofErr w:type="spellStart"/>
            <w:r w:rsidRPr="00547BE9">
              <w:rPr>
                <w:sz w:val="21"/>
                <w:szCs w:val="21"/>
              </w:rPr>
              <w:t>polimerizavel</w:t>
            </w:r>
            <w:proofErr w:type="spellEnd"/>
            <w:r w:rsidRPr="00547BE9">
              <w:rPr>
                <w:sz w:val="21"/>
                <w:szCs w:val="21"/>
              </w:rPr>
              <w:t xml:space="preserve"> 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acabamento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final;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certificado</w:t>
            </w:r>
            <w:r>
              <w:rPr>
                <w:sz w:val="21"/>
                <w:szCs w:val="21"/>
              </w:rPr>
              <w:t xml:space="preserve"> ISSO </w:t>
            </w:r>
            <w:r w:rsidRPr="00547BE9">
              <w:rPr>
                <w:sz w:val="21"/>
                <w:szCs w:val="21"/>
              </w:rPr>
              <w:t>procedimentos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odontológicos: prótese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dentária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total – </w:t>
            </w:r>
            <w:proofErr w:type="spellStart"/>
            <w:r w:rsidRPr="00547BE9">
              <w:rPr>
                <w:sz w:val="21"/>
                <w:szCs w:val="21"/>
              </w:rPr>
              <w:t>pt</w:t>
            </w:r>
            <w:proofErr w:type="spellEnd"/>
            <w:r w:rsidRPr="00547BE9">
              <w:rPr>
                <w:sz w:val="21"/>
                <w:szCs w:val="21"/>
              </w:rPr>
              <w:t xml:space="preserve"> moldagem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inicial 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alginato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vazamento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modelo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gesso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pedra. </w:t>
            </w:r>
            <w:r>
              <w:rPr>
                <w:sz w:val="21"/>
                <w:szCs w:val="21"/>
              </w:rPr>
              <w:t>M</w:t>
            </w:r>
            <w:r w:rsidRPr="00547BE9">
              <w:rPr>
                <w:sz w:val="21"/>
                <w:szCs w:val="21"/>
              </w:rPr>
              <w:t>ordida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cera, marcação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linha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sorriso, </w:t>
            </w:r>
            <w:proofErr w:type="spellStart"/>
            <w:r w:rsidRPr="00547BE9">
              <w:rPr>
                <w:sz w:val="21"/>
                <w:szCs w:val="21"/>
              </w:rPr>
              <w:t>alturada</w:t>
            </w:r>
            <w:proofErr w:type="spellEnd"/>
            <w:r w:rsidRPr="00547BE9">
              <w:rPr>
                <w:sz w:val="21"/>
                <w:szCs w:val="21"/>
              </w:rPr>
              <w:t xml:space="preserve"> dimensão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vertical, escolha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dente. </w:t>
            </w: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rova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mordida, moldagem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funcional 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pasta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zincoenólica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vazamento 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gesso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pedra. </w:t>
            </w:r>
            <w:r>
              <w:rPr>
                <w:sz w:val="21"/>
                <w:szCs w:val="21"/>
              </w:rPr>
              <w:t>I</w:t>
            </w:r>
            <w:r w:rsidRPr="00547BE9">
              <w:rPr>
                <w:sz w:val="21"/>
                <w:szCs w:val="21"/>
              </w:rPr>
              <w:t>nstalação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possíveis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ajustes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mordida.</w:t>
            </w:r>
          </w:p>
        </w:tc>
        <w:tc>
          <w:tcPr>
            <w:tcW w:w="1134" w:type="dxa"/>
            <w:shd w:val="clear" w:color="auto" w:fill="auto"/>
          </w:tcPr>
          <w:p w14:paraId="06595E19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R$ 289,00</w:t>
            </w:r>
          </w:p>
        </w:tc>
        <w:tc>
          <w:tcPr>
            <w:tcW w:w="1417" w:type="dxa"/>
          </w:tcPr>
          <w:p w14:paraId="2D7B8C7F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Pr="009F1209">
              <w:rPr>
                <w:sz w:val="21"/>
                <w:szCs w:val="21"/>
              </w:rPr>
              <w:t>72.250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0EE94FC2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27A57DC0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2D5F20A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4B321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7174557" w14:textId="78830AF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 xml:space="preserve">até 31 de </w:t>
      </w:r>
      <w:r w:rsidR="002E241C">
        <w:rPr>
          <w:rFonts w:ascii="Times New Roman" w:hAnsi="Times New Roman"/>
          <w:bCs/>
          <w:iCs/>
          <w:sz w:val="21"/>
          <w:szCs w:val="21"/>
        </w:rPr>
        <w:t>maio</w:t>
      </w:r>
      <w:r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2B601E">
        <w:rPr>
          <w:rFonts w:ascii="Times New Roman" w:hAnsi="Times New Roman"/>
          <w:bCs/>
          <w:iCs/>
          <w:sz w:val="21"/>
          <w:szCs w:val="21"/>
        </w:rPr>
        <w:t>6</w:t>
      </w:r>
      <w:bookmarkStart w:id="1" w:name="_GoBack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32CC1185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59C8D8E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TERCEIRA – MODELOS DE EXECUÇÃO E GESTÃO CONTRATUAIS (art. 92, IV, VII e XVIII)</w:t>
      </w:r>
    </w:p>
    <w:p w14:paraId="093621F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7CC1A07F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B3728F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E2A625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3B0AA32E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222E8F7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050099F" w14:textId="278266C6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Pr="009F1209">
        <w:rPr>
          <w:rFonts w:ascii="Times New Roman" w:hAnsi="Times New Roman"/>
          <w:color w:val="000000"/>
          <w:sz w:val="21"/>
          <w:szCs w:val="21"/>
        </w:rPr>
        <w:t>7</w:t>
      </w:r>
      <w:r w:rsidR="008B763B">
        <w:rPr>
          <w:rFonts w:ascii="Times New Roman" w:hAnsi="Times New Roman"/>
          <w:color w:val="000000"/>
          <w:sz w:val="21"/>
          <w:szCs w:val="21"/>
        </w:rPr>
        <w:t>2</w:t>
      </w:r>
      <w:r w:rsidRPr="009F1209">
        <w:rPr>
          <w:rFonts w:ascii="Times New Roman" w:hAnsi="Times New Roman"/>
          <w:color w:val="000000"/>
          <w:sz w:val="21"/>
          <w:szCs w:val="21"/>
        </w:rPr>
        <w:t>.</w:t>
      </w:r>
      <w:r w:rsidR="008B763B">
        <w:rPr>
          <w:rFonts w:ascii="Times New Roman" w:hAnsi="Times New Roman"/>
          <w:color w:val="000000"/>
          <w:sz w:val="21"/>
          <w:szCs w:val="21"/>
        </w:rPr>
        <w:t>2</w:t>
      </w:r>
      <w:r w:rsidRPr="009F1209">
        <w:rPr>
          <w:rFonts w:ascii="Times New Roman" w:hAnsi="Times New Roman"/>
          <w:color w:val="000000"/>
          <w:sz w:val="21"/>
          <w:szCs w:val="21"/>
        </w:rPr>
        <w:t>50</w:t>
      </w:r>
      <w:r>
        <w:rPr>
          <w:rFonts w:ascii="Times New Roman" w:hAnsi="Times New Roman"/>
          <w:color w:val="000000"/>
          <w:sz w:val="21"/>
          <w:szCs w:val="21"/>
        </w:rPr>
        <w:t xml:space="preserve">,00 </w:t>
      </w:r>
      <w:r w:rsidRPr="00DF423B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 xml:space="preserve">Setenta e </w:t>
      </w:r>
      <w:r w:rsidR="00D24F98">
        <w:rPr>
          <w:rFonts w:ascii="Times New Roman" w:hAnsi="Times New Roman"/>
          <w:sz w:val="21"/>
          <w:szCs w:val="21"/>
        </w:rPr>
        <w:t>Dois</w:t>
      </w:r>
      <w:r>
        <w:rPr>
          <w:rFonts w:ascii="Times New Roman" w:hAnsi="Times New Roman"/>
          <w:sz w:val="21"/>
          <w:szCs w:val="21"/>
        </w:rPr>
        <w:t xml:space="preserve"> Mil </w:t>
      </w:r>
      <w:r w:rsidR="00D24F98">
        <w:rPr>
          <w:rFonts w:ascii="Times New Roman" w:hAnsi="Times New Roman"/>
          <w:sz w:val="21"/>
          <w:szCs w:val="21"/>
        </w:rPr>
        <w:t>Duzentos</w:t>
      </w:r>
      <w:r>
        <w:rPr>
          <w:rFonts w:ascii="Times New Roman" w:hAnsi="Times New Roman"/>
          <w:sz w:val="21"/>
          <w:szCs w:val="21"/>
        </w:rPr>
        <w:t xml:space="preserve"> e Cinquenta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098DF3F4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25D48D4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63D2BD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3C6EC4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1162791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09CB59E5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9445C10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2E8CC2A8" w14:textId="77777777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69146FA2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00B9A6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68303C1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1D7EE952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8C9BEE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5EACEAF9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2ABF2A80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2CE346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3BBC832C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A00F438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21A5F2E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63F9E7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7477146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17563BBD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623E7B6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12120687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58911B2B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51CC2E51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2119B045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18C0E8C" w14:textId="77777777" w:rsidR="009F1209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CF05E2">
        <w:rPr>
          <w:rFonts w:ascii="Times New Roman" w:hAnsi="Times New Roman"/>
          <w:sz w:val="21"/>
          <w:szCs w:val="21"/>
        </w:rPr>
        <w:t>64</w:t>
      </w:r>
      <w:r>
        <w:rPr>
          <w:rFonts w:ascii="Times New Roman" w:hAnsi="Times New Roman"/>
          <w:sz w:val="21"/>
          <w:szCs w:val="21"/>
        </w:rPr>
        <w:t xml:space="preserve"> </w:t>
      </w:r>
      <w:r w:rsidRPr="005B5A75">
        <w:rPr>
          <w:rFonts w:ascii="Times New Roman" w:hAnsi="Times New Roman"/>
          <w:sz w:val="21"/>
          <w:szCs w:val="21"/>
        </w:rPr>
        <w:t xml:space="preserve">– </w:t>
      </w:r>
      <w:r w:rsidR="00CF05E2" w:rsidRPr="00CF05E2">
        <w:rPr>
          <w:rFonts w:ascii="Times New Roman" w:hAnsi="Times New Roman"/>
          <w:sz w:val="21"/>
          <w:szCs w:val="21"/>
        </w:rPr>
        <w:t>Próteses dentárias</w:t>
      </w:r>
    </w:p>
    <w:p w14:paraId="2516F5A4" w14:textId="77777777" w:rsidR="009F1209" w:rsidRPr="005B5A75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CF05E2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2E657F">
        <w:rPr>
          <w:rFonts w:ascii="Times New Roman" w:hAnsi="Times New Roman"/>
          <w:sz w:val="21"/>
          <w:szCs w:val="21"/>
        </w:rPr>
        <w:t>Material para Doação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7CDA53E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5ED13E53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1C50D09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635F13E9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18BB06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6FC3D2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5C40A04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0CC1227C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6854992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0847085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3DD61C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EFBEEE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4207BEF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3627C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3E9FF40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19616D03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499FD5F8" w14:textId="7CAE77BC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369EF">
        <w:rPr>
          <w:rFonts w:ascii="Times New Roman" w:hAnsi="Times New Roman"/>
          <w:bCs/>
          <w:sz w:val="21"/>
          <w:szCs w:val="21"/>
        </w:rPr>
        <w:t>24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369EF">
        <w:rPr>
          <w:rFonts w:ascii="Times New Roman" w:hAnsi="Times New Roman"/>
          <w:bCs/>
          <w:sz w:val="21"/>
          <w:szCs w:val="21"/>
        </w:rPr>
        <w:t>SETEMBRO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5369EF">
        <w:rPr>
          <w:rFonts w:ascii="Times New Roman" w:hAnsi="Times New Roman"/>
          <w:bCs/>
          <w:sz w:val="21"/>
          <w:szCs w:val="21"/>
        </w:rPr>
        <w:t>5</w:t>
      </w:r>
    </w:p>
    <w:p w14:paraId="13E068AF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231CB008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E99EE10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4E966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A06AD5" w:rsidRPr="0033395A">
        <w:rPr>
          <w:rFonts w:ascii="Times New Roman" w:hAnsi="Times New Roman"/>
          <w:b/>
          <w:sz w:val="21"/>
          <w:szCs w:val="21"/>
        </w:rPr>
        <w:t>ELIANE ANSCHAU DORNELES KREWER – ME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BECEF4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7BA3FB96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5CF79B4F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20DFC3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D92A880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4E56DF0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5B7405F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2D7021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74335FF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71F4F5CB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866B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8C97B22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3485712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7E53195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501256E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A0B8" w14:textId="77777777" w:rsidR="00F84410" w:rsidRDefault="00F84410">
      <w:r>
        <w:separator/>
      </w:r>
    </w:p>
  </w:endnote>
  <w:endnote w:type="continuationSeparator" w:id="0">
    <w:p w14:paraId="5B09E109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ABC7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42DEC2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368C724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5AC83ED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788AE8A" wp14:editId="219C9F4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DD863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0964028" wp14:editId="6F27F334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A0654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6402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6AAA0654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733E22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5D796" w14:textId="77777777" w:rsidR="00F84410" w:rsidRDefault="00F84410">
      <w:r>
        <w:separator/>
      </w:r>
    </w:p>
  </w:footnote>
  <w:footnote w:type="continuationSeparator" w:id="0">
    <w:p w14:paraId="57B2A457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BCC0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3C254F0C" wp14:editId="7E5663FC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FF448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346B893" wp14:editId="5B23CD52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4F0B4286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7E03FCBF" w14:textId="77777777" w:rsidR="003957D0" w:rsidRDefault="003957D0" w:rsidP="003957D0">
    <w:pPr>
      <w:pStyle w:val="Cabealho"/>
    </w:pPr>
  </w:p>
  <w:p w14:paraId="7A042511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C0EFCC8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B601E"/>
    <w:rsid w:val="002C035A"/>
    <w:rsid w:val="002E241C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55DF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369EF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B763B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24F98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152B"/>
    <w:rsid w:val="00EA2E7B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6947D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BE84-D49E-49F5-A3FD-C157CEC5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1215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2025-09-24T18:36:00Z</dcterms:created>
  <dcterms:modified xsi:type="dcterms:W3CDTF">2025-09-26T12:37:00Z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