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18CA" w14:textId="09C18FBD" w:rsidR="00254F55" w:rsidRDefault="00B9194A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Pr="00B9194A">
        <w:rPr>
          <w:w w:val="90"/>
          <w:u w:val="none"/>
        </w:rPr>
        <w:t xml:space="preserve"> </w:t>
      </w:r>
      <w:r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8C67F" w14:textId="7195974F" w:rsidR="003E64EE" w:rsidRPr="003E64EE" w:rsidRDefault="00AC4CDD" w:rsidP="003E64EE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C397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Nº</w:t>
      </w:r>
      <w:r w:rsidR="006B42EF">
        <w:rPr>
          <w:w w:val="85"/>
          <w:u w:val="none"/>
        </w:rPr>
        <w:t xml:space="preserve"> </w:t>
      </w:r>
      <w:r w:rsidR="00EC0D7F">
        <w:rPr>
          <w:w w:val="85"/>
          <w:u w:val="none"/>
        </w:rPr>
        <w:t>019</w:t>
      </w:r>
      <w:r w:rsidR="00470AB4">
        <w:rPr>
          <w:w w:val="85"/>
          <w:u w:val="none"/>
        </w:rPr>
        <w:t>/2024</w:t>
      </w:r>
    </w:p>
    <w:p w14:paraId="045E6FC0" w14:textId="0C6FE152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 xml:space="preserve">2.002/2012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3FDF60C0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4C1682">
        <w:rPr>
          <w:sz w:val="20"/>
        </w:rPr>
        <w:t>7 de setembro</w:t>
      </w:r>
      <w:r w:rsidR="002F28FD">
        <w:rPr>
          <w:sz w:val="20"/>
        </w:rPr>
        <w:t xml:space="preserve"> (Rua lateral ao arroio sem denominação)</w:t>
      </w:r>
      <w:r w:rsidR="00B76408">
        <w:rPr>
          <w:sz w:val="20"/>
        </w:rPr>
        <w:t xml:space="preserve">, </w:t>
      </w:r>
      <w:r>
        <w:rPr>
          <w:sz w:val="20"/>
        </w:rPr>
        <w:t xml:space="preserve">no trecho compreendido entre a Rua </w:t>
      </w:r>
      <w:r w:rsidR="002F28FD">
        <w:rPr>
          <w:sz w:val="20"/>
        </w:rPr>
        <w:t xml:space="preserve"> Venancio Aires</w:t>
      </w:r>
      <w:r w:rsidR="0050446A">
        <w:rPr>
          <w:sz w:val="20"/>
        </w:rPr>
        <w:t xml:space="preserve">  e Rua Dr Flores, </w:t>
      </w:r>
      <w:r w:rsidR="00B76408">
        <w:rPr>
          <w:sz w:val="20"/>
        </w:rPr>
        <w:t>Porto Xavier -RS.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5A9F451F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50446A">
        <w:rPr>
          <w:sz w:val="20"/>
        </w:rPr>
        <w:t xml:space="preserve"> 49.358,35</w:t>
      </w:r>
      <w:r>
        <w:rPr>
          <w:sz w:val="20"/>
        </w:rPr>
        <w:t xml:space="preserve"> (</w:t>
      </w:r>
      <w:r w:rsidR="0050446A">
        <w:rPr>
          <w:sz w:val="20"/>
        </w:rPr>
        <w:t>Quarenta e Nove Mil, Trezentos e Cincoenta e Oito Reais e Trinta e Cinco</w:t>
      </w:r>
      <w:r w:rsidR="004C1682">
        <w:rPr>
          <w:sz w:val="20"/>
        </w:rPr>
        <w:t xml:space="preserve"> Centavos)</w:t>
      </w:r>
      <w:r>
        <w:rPr>
          <w:sz w:val="20"/>
        </w:rPr>
        <w:t xml:space="preserve"> 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43CB6D74" w14:textId="77777777" w:rsidR="00663150" w:rsidRDefault="00AC4CDD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6E32DF51" w14:textId="19A52A40" w:rsidR="00663150" w:rsidRDefault="00663150">
      <w:pPr>
        <w:pStyle w:val="Corpodetexto"/>
        <w:spacing w:before="163"/>
        <w:ind w:left="782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F91526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663150" w14:paraId="644CF618" w14:textId="77777777" w:rsidTr="00F91526">
        <w:trPr>
          <w:trHeight w:val="311"/>
        </w:trPr>
        <w:tc>
          <w:tcPr>
            <w:tcW w:w="704" w:type="dxa"/>
            <w:shd w:val="clear" w:color="auto" w:fill="DEEAF6"/>
          </w:tcPr>
          <w:p w14:paraId="3D17A520" w14:textId="2AAB2C10" w:rsidR="00663150" w:rsidRPr="000E548E" w:rsidRDefault="004C1682">
            <w:pPr>
              <w:pStyle w:val="TableParagraph"/>
              <w:spacing w:before="44" w:line="240" w:lineRule="auto"/>
              <w:ind w:left="4"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4F268801" w14:textId="7DF72672" w:rsidR="00663150" w:rsidRPr="000E548E" w:rsidRDefault="003F01AD" w:rsidP="003F01AD">
            <w:pPr>
              <w:pStyle w:val="TableParagraph"/>
              <w:spacing w:before="44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ROGERIO UECKER</w:t>
            </w:r>
          </w:p>
        </w:tc>
        <w:tc>
          <w:tcPr>
            <w:tcW w:w="893" w:type="dxa"/>
            <w:shd w:val="clear" w:color="auto" w:fill="DEEAF6"/>
          </w:tcPr>
          <w:p w14:paraId="143C5DDD" w14:textId="5C7CF29E" w:rsidR="00663150" w:rsidRPr="000E548E" w:rsidRDefault="003F01AD">
            <w:pPr>
              <w:pStyle w:val="TableParagraph"/>
              <w:spacing w:before="44" w:line="240" w:lineRule="auto"/>
              <w:ind w:left="9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24,50</w:t>
            </w:r>
          </w:p>
        </w:tc>
        <w:tc>
          <w:tcPr>
            <w:tcW w:w="1235" w:type="dxa"/>
            <w:shd w:val="clear" w:color="auto" w:fill="DEEAF6"/>
          </w:tcPr>
          <w:p w14:paraId="6AE9B668" w14:textId="7A0A16F2" w:rsidR="00663150" w:rsidRPr="000E548E" w:rsidRDefault="00E5536B">
            <w:pPr>
              <w:pStyle w:val="TableParagraph"/>
              <w:spacing w:before="44" w:line="240" w:lineRule="auto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236,95</w:t>
            </w:r>
          </w:p>
        </w:tc>
        <w:tc>
          <w:tcPr>
            <w:tcW w:w="1276" w:type="dxa"/>
            <w:shd w:val="clear" w:color="auto" w:fill="DEEAF6"/>
          </w:tcPr>
          <w:p w14:paraId="2307ACCB" w14:textId="371C0EED" w:rsidR="00663150" w:rsidRPr="000E548E" w:rsidRDefault="00C26268" w:rsidP="004C1682">
            <w:pPr>
              <w:pStyle w:val="TableParagraph"/>
              <w:spacing w:before="44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15.875,00</w:t>
            </w:r>
          </w:p>
        </w:tc>
        <w:tc>
          <w:tcPr>
            <w:tcW w:w="1277" w:type="dxa"/>
            <w:shd w:val="clear" w:color="auto" w:fill="DEEAF6"/>
          </w:tcPr>
          <w:p w14:paraId="787CA8B5" w14:textId="534A60A6" w:rsidR="00663150" w:rsidRDefault="00C26268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16.916,00</w:t>
            </w:r>
          </w:p>
        </w:tc>
        <w:tc>
          <w:tcPr>
            <w:tcW w:w="1274" w:type="dxa"/>
            <w:shd w:val="clear" w:color="auto" w:fill="DEEAF6"/>
          </w:tcPr>
          <w:p w14:paraId="61611419" w14:textId="0DBC4790" w:rsidR="00663150" w:rsidRDefault="00C26268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1.041,00</w:t>
            </w:r>
          </w:p>
        </w:tc>
      </w:tr>
      <w:tr w:rsidR="00663150" w14:paraId="75ACE212" w14:textId="77777777" w:rsidTr="00F91526">
        <w:trPr>
          <w:trHeight w:val="220"/>
        </w:trPr>
        <w:tc>
          <w:tcPr>
            <w:tcW w:w="704" w:type="dxa"/>
          </w:tcPr>
          <w:p w14:paraId="7789EFF3" w14:textId="14EDC92F" w:rsidR="00663150" w:rsidRPr="000E548E" w:rsidRDefault="00BF24CE">
            <w:pPr>
              <w:pStyle w:val="TableParagraph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02</w:t>
            </w:r>
          </w:p>
        </w:tc>
        <w:tc>
          <w:tcPr>
            <w:tcW w:w="2883" w:type="dxa"/>
          </w:tcPr>
          <w:p w14:paraId="01C73970" w14:textId="070DBC23" w:rsidR="00663150" w:rsidRPr="000E548E" w:rsidRDefault="003F01AD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ELISETE SCHROPFER ZILLI</w:t>
            </w:r>
          </w:p>
        </w:tc>
        <w:tc>
          <w:tcPr>
            <w:tcW w:w="893" w:type="dxa"/>
          </w:tcPr>
          <w:p w14:paraId="52F3306A" w14:textId="0E9B6601" w:rsidR="00663150" w:rsidRPr="000E548E" w:rsidRDefault="003F01AD">
            <w:pPr>
              <w:pStyle w:val="TableParagraph"/>
              <w:ind w:left="9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16,50</w:t>
            </w:r>
          </w:p>
        </w:tc>
        <w:tc>
          <w:tcPr>
            <w:tcW w:w="1235" w:type="dxa"/>
          </w:tcPr>
          <w:p w14:paraId="56952B39" w14:textId="07DCE16D" w:rsidR="00663150" w:rsidRPr="000E548E" w:rsidRDefault="00E5536B">
            <w:pPr>
              <w:pStyle w:val="TableParagraph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236,95</w:t>
            </w:r>
          </w:p>
        </w:tc>
        <w:tc>
          <w:tcPr>
            <w:tcW w:w="1276" w:type="dxa"/>
          </w:tcPr>
          <w:p w14:paraId="33A81CF3" w14:textId="200B41E9" w:rsidR="00663150" w:rsidRPr="000E548E" w:rsidRDefault="00C26268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15.875,00</w:t>
            </w:r>
          </w:p>
        </w:tc>
        <w:tc>
          <w:tcPr>
            <w:tcW w:w="1277" w:type="dxa"/>
          </w:tcPr>
          <w:p w14:paraId="536B57B0" w14:textId="3708EA40" w:rsidR="00663150" w:rsidRDefault="00C26268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16.57625</w:t>
            </w:r>
          </w:p>
        </w:tc>
        <w:tc>
          <w:tcPr>
            <w:tcW w:w="1274" w:type="dxa"/>
          </w:tcPr>
          <w:p w14:paraId="580FEABB" w14:textId="3A9E7B08" w:rsidR="00663150" w:rsidRDefault="00C2626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 701,25</w:t>
            </w:r>
          </w:p>
        </w:tc>
      </w:tr>
      <w:tr w:rsidR="00663150" w14:paraId="1DB6E973" w14:textId="77777777" w:rsidTr="00F91526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548B1385" w:rsidR="00663150" w:rsidRPr="000E548E" w:rsidRDefault="00BF24CE">
            <w:pPr>
              <w:pStyle w:val="TableParagraph"/>
              <w:spacing w:line="198" w:lineRule="exact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03</w:t>
            </w:r>
          </w:p>
        </w:tc>
        <w:tc>
          <w:tcPr>
            <w:tcW w:w="2883" w:type="dxa"/>
            <w:shd w:val="clear" w:color="auto" w:fill="DEEAF6"/>
          </w:tcPr>
          <w:p w14:paraId="6714A70C" w14:textId="7477A410" w:rsidR="00663150" w:rsidRPr="000E548E" w:rsidRDefault="003F01AD">
            <w:pPr>
              <w:pStyle w:val="TableParagraph"/>
              <w:spacing w:line="19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ESP. WALTER NASCIMNETO DA SILVA</w:t>
            </w:r>
          </w:p>
        </w:tc>
        <w:tc>
          <w:tcPr>
            <w:tcW w:w="893" w:type="dxa"/>
            <w:shd w:val="clear" w:color="auto" w:fill="DEEAF6"/>
          </w:tcPr>
          <w:p w14:paraId="1E595506" w14:textId="53D19016" w:rsidR="00663150" w:rsidRPr="000E548E" w:rsidRDefault="003F01AD">
            <w:pPr>
              <w:pStyle w:val="TableParagraph"/>
              <w:spacing w:line="198" w:lineRule="exact"/>
              <w:ind w:left="9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235" w:type="dxa"/>
            <w:shd w:val="clear" w:color="auto" w:fill="DEEAF6"/>
          </w:tcPr>
          <w:p w14:paraId="641F7C9A" w14:textId="5506BD16" w:rsidR="00663150" w:rsidRPr="000E548E" w:rsidRDefault="00E5536B">
            <w:pPr>
              <w:pStyle w:val="TableParagraph"/>
              <w:spacing w:line="198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212,85</w:t>
            </w:r>
          </w:p>
        </w:tc>
        <w:tc>
          <w:tcPr>
            <w:tcW w:w="1276" w:type="dxa"/>
            <w:shd w:val="clear" w:color="auto" w:fill="DEEAF6"/>
          </w:tcPr>
          <w:p w14:paraId="26FC0D58" w14:textId="7146B47E" w:rsidR="00663150" w:rsidRPr="000E548E" w:rsidRDefault="00C26268">
            <w:pPr>
              <w:pStyle w:val="TableParagraph"/>
              <w:spacing w:line="198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14.260,00</w:t>
            </w:r>
          </w:p>
        </w:tc>
        <w:tc>
          <w:tcPr>
            <w:tcW w:w="1277" w:type="dxa"/>
            <w:shd w:val="clear" w:color="auto" w:fill="DEEAF6"/>
          </w:tcPr>
          <w:p w14:paraId="2E98A3F0" w14:textId="5DD2C1DE" w:rsidR="00663150" w:rsidRDefault="00C26268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14.770,00</w:t>
            </w:r>
          </w:p>
        </w:tc>
        <w:tc>
          <w:tcPr>
            <w:tcW w:w="1274" w:type="dxa"/>
            <w:shd w:val="clear" w:color="auto" w:fill="DEEAF6"/>
          </w:tcPr>
          <w:p w14:paraId="30D60628" w14:textId="4179258B" w:rsidR="00663150" w:rsidRDefault="00C262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510,00</w:t>
            </w:r>
          </w:p>
        </w:tc>
      </w:tr>
      <w:tr w:rsidR="00663150" w14:paraId="077A7036" w14:textId="77777777" w:rsidTr="00F91526">
        <w:trPr>
          <w:trHeight w:val="220"/>
        </w:trPr>
        <w:tc>
          <w:tcPr>
            <w:tcW w:w="704" w:type="dxa"/>
          </w:tcPr>
          <w:p w14:paraId="0D26AE1B" w14:textId="113773E6" w:rsidR="00663150" w:rsidRPr="000E548E" w:rsidRDefault="00BF24CE">
            <w:pPr>
              <w:pStyle w:val="TableParagraph"/>
              <w:spacing w:before="1" w:line="199" w:lineRule="exact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04</w:t>
            </w:r>
          </w:p>
        </w:tc>
        <w:tc>
          <w:tcPr>
            <w:tcW w:w="2883" w:type="dxa"/>
          </w:tcPr>
          <w:p w14:paraId="1FF206AC" w14:textId="774650C1" w:rsidR="00663150" w:rsidRPr="000E548E" w:rsidRDefault="003F01AD">
            <w:pPr>
              <w:pStyle w:val="TableParagraph"/>
              <w:spacing w:before="1" w:line="199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ESP. DE ERICO KREWER</w:t>
            </w:r>
          </w:p>
        </w:tc>
        <w:tc>
          <w:tcPr>
            <w:tcW w:w="893" w:type="dxa"/>
          </w:tcPr>
          <w:p w14:paraId="22F6A531" w14:textId="656D79F3" w:rsidR="00663150" w:rsidRPr="000E548E" w:rsidRDefault="003F01AD">
            <w:pPr>
              <w:pStyle w:val="TableParagraph"/>
              <w:spacing w:before="1" w:line="199" w:lineRule="exact"/>
              <w:ind w:left="9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235" w:type="dxa"/>
          </w:tcPr>
          <w:p w14:paraId="6B2BFED2" w14:textId="19EEA07B" w:rsidR="00663150" w:rsidRPr="000E548E" w:rsidRDefault="00E5536B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173,65</w:t>
            </w:r>
          </w:p>
        </w:tc>
        <w:tc>
          <w:tcPr>
            <w:tcW w:w="1276" w:type="dxa"/>
          </w:tcPr>
          <w:p w14:paraId="11DBBD12" w14:textId="0D4BCCCB" w:rsidR="00663150" w:rsidRPr="000E548E" w:rsidRDefault="00C26268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11.634,00</w:t>
            </w:r>
          </w:p>
        </w:tc>
        <w:tc>
          <w:tcPr>
            <w:tcW w:w="1277" w:type="dxa"/>
          </w:tcPr>
          <w:p w14:paraId="35F11BE7" w14:textId="1823A2AC" w:rsidR="00663150" w:rsidRDefault="00C26268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12.059,00</w:t>
            </w:r>
          </w:p>
        </w:tc>
        <w:tc>
          <w:tcPr>
            <w:tcW w:w="1274" w:type="dxa"/>
          </w:tcPr>
          <w:p w14:paraId="7DC847E1" w14:textId="05E69FE5" w:rsidR="00663150" w:rsidRDefault="00C26268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425,00</w:t>
            </w:r>
          </w:p>
        </w:tc>
      </w:tr>
      <w:tr w:rsidR="00663150" w14:paraId="23F92359" w14:textId="77777777" w:rsidTr="00F91526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22D2FA5B" w:rsidR="00663150" w:rsidRDefault="004C1682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  <w:shd w:val="clear" w:color="auto" w:fill="DEEAF6"/>
          </w:tcPr>
          <w:p w14:paraId="5DBFC04D" w14:textId="63CC04B7" w:rsidR="00663150" w:rsidRDefault="003F01A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DE HORÁCIO DA VEIGA</w:t>
            </w:r>
          </w:p>
        </w:tc>
        <w:tc>
          <w:tcPr>
            <w:tcW w:w="893" w:type="dxa"/>
            <w:shd w:val="clear" w:color="auto" w:fill="DEEAF6"/>
          </w:tcPr>
          <w:p w14:paraId="20412982" w14:textId="2EE6E81B" w:rsidR="00663150" w:rsidRDefault="003F01AD" w:rsidP="00EA6077">
            <w:pPr>
              <w:pStyle w:val="TableParagraph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15,50</w:t>
            </w:r>
          </w:p>
        </w:tc>
        <w:tc>
          <w:tcPr>
            <w:tcW w:w="1235" w:type="dxa"/>
            <w:shd w:val="clear" w:color="auto" w:fill="DEEAF6"/>
          </w:tcPr>
          <w:p w14:paraId="7EE22A67" w14:textId="415D873A" w:rsidR="00663150" w:rsidRDefault="00E5536B" w:rsidP="003E64EE">
            <w:pPr>
              <w:pStyle w:val="TableParagraph"/>
              <w:ind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360,65</w:t>
            </w:r>
          </w:p>
        </w:tc>
        <w:tc>
          <w:tcPr>
            <w:tcW w:w="1276" w:type="dxa"/>
            <w:shd w:val="clear" w:color="auto" w:fill="DEEAF6"/>
          </w:tcPr>
          <w:p w14:paraId="4581AAE0" w14:textId="60969415" w:rsidR="00663150" w:rsidRDefault="00C26268" w:rsidP="00EA6077">
            <w:pPr>
              <w:pStyle w:val="TableParagraph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24.164,00</w:t>
            </w:r>
          </w:p>
        </w:tc>
        <w:tc>
          <w:tcPr>
            <w:tcW w:w="1277" w:type="dxa"/>
            <w:shd w:val="clear" w:color="auto" w:fill="DEEAF6"/>
          </w:tcPr>
          <w:p w14:paraId="1A853E27" w14:textId="12F582A7" w:rsidR="00663150" w:rsidRDefault="00C26268" w:rsidP="005557F4">
            <w:pPr>
              <w:pStyle w:val="TableParagraph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24.822,00                       </w:t>
            </w:r>
          </w:p>
        </w:tc>
        <w:tc>
          <w:tcPr>
            <w:tcW w:w="1274" w:type="dxa"/>
            <w:shd w:val="clear" w:color="auto" w:fill="DEEAF6"/>
          </w:tcPr>
          <w:p w14:paraId="04AE0B6E" w14:textId="418BE1A6" w:rsidR="00663150" w:rsidRDefault="00C2626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  658,00</w:t>
            </w:r>
          </w:p>
        </w:tc>
      </w:tr>
      <w:tr w:rsidR="00663150" w14:paraId="48B77290" w14:textId="77777777" w:rsidTr="00F91526">
        <w:trPr>
          <w:trHeight w:val="220"/>
        </w:trPr>
        <w:tc>
          <w:tcPr>
            <w:tcW w:w="704" w:type="dxa"/>
          </w:tcPr>
          <w:p w14:paraId="27CDE380" w14:textId="6442D964" w:rsidR="00663150" w:rsidRDefault="004C1682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</w:tcPr>
          <w:p w14:paraId="209D7AFF" w14:textId="190B60A4" w:rsidR="00663150" w:rsidRDefault="003F01A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MARCOS FIN BERNARD</w:t>
            </w:r>
          </w:p>
        </w:tc>
        <w:tc>
          <w:tcPr>
            <w:tcW w:w="893" w:type="dxa"/>
          </w:tcPr>
          <w:p w14:paraId="548445C7" w14:textId="2CC0CBE4" w:rsidR="00663150" w:rsidRDefault="003F01AD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15,50</w:t>
            </w:r>
          </w:p>
        </w:tc>
        <w:tc>
          <w:tcPr>
            <w:tcW w:w="1235" w:type="dxa"/>
          </w:tcPr>
          <w:p w14:paraId="7175C585" w14:textId="5694F447" w:rsidR="00663150" w:rsidRDefault="00E5536B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417,61</w:t>
            </w:r>
          </w:p>
        </w:tc>
        <w:tc>
          <w:tcPr>
            <w:tcW w:w="1276" w:type="dxa"/>
          </w:tcPr>
          <w:p w14:paraId="4E27848A" w14:textId="62A85BA3" w:rsidR="00663150" w:rsidRDefault="00C2626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27.980,00</w:t>
            </w:r>
          </w:p>
        </w:tc>
        <w:tc>
          <w:tcPr>
            <w:tcW w:w="1277" w:type="dxa"/>
          </w:tcPr>
          <w:p w14:paraId="5D147A79" w14:textId="5BE8189B" w:rsidR="00663150" w:rsidRDefault="00C26268" w:rsidP="002C1F31">
            <w:pPr>
              <w:pStyle w:val="TableParagraph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28.638,00</w:t>
            </w:r>
          </w:p>
        </w:tc>
        <w:tc>
          <w:tcPr>
            <w:tcW w:w="1274" w:type="dxa"/>
          </w:tcPr>
          <w:p w14:paraId="75AB53B6" w14:textId="15D7BA91" w:rsidR="00663150" w:rsidRDefault="00C2626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  658,00</w:t>
            </w:r>
          </w:p>
        </w:tc>
      </w:tr>
      <w:tr w:rsidR="00663150" w14:paraId="519C37C4" w14:textId="77777777" w:rsidTr="00F91526">
        <w:trPr>
          <w:trHeight w:val="218"/>
        </w:trPr>
        <w:tc>
          <w:tcPr>
            <w:tcW w:w="704" w:type="dxa"/>
            <w:shd w:val="clear" w:color="auto" w:fill="DEEAF6"/>
          </w:tcPr>
          <w:p w14:paraId="40B2EB7C" w14:textId="5E3449A0" w:rsidR="00663150" w:rsidRDefault="004C1682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  <w:shd w:val="clear" w:color="auto" w:fill="DEEAF6"/>
          </w:tcPr>
          <w:p w14:paraId="2B00C07A" w14:textId="2C94EE56" w:rsidR="00663150" w:rsidRDefault="00E5536B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ADRIELI KREWER DE FREITAS</w:t>
            </w:r>
          </w:p>
        </w:tc>
        <w:tc>
          <w:tcPr>
            <w:tcW w:w="893" w:type="dxa"/>
            <w:shd w:val="clear" w:color="auto" w:fill="DEEAF6"/>
          </w:tcPr>
          <w:p w14:paraId="56E4C649" w14:textId="48E6E41F" w:rsidR="00663150" w:rsidRDefault="003F01AD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31,50</w:t>
            </w:r>
          </w:p>
        </w:tc>
        <w:tc>
          <w:tcPr>
            <w:tcW w:w="1235" w:type="dxa"/>
            <w:shd w:val="clear" w:color="auto" w:fill="DEEAF6"/>
          </w:tcPr>
          <w:p w14:paraId="2197C0AE" w14:textId="3FE9202C" w:rsidR="00663150" w:rsidRDefault="00E5536B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528,62</w:t>
            </w:r>
          </w:p>
        </w:tc>
        <w:tc>
          <w:tcPr>
            <w:tcW w:w="1276" w:type="dxa"/>
            <w:shd w:val="clear" w:color="auto" w:fill="DEEAF6"/>
          </w:tcPr>
          <w:p w14:paraId="55C784BD" w14:textId="202BCC8C" w:rsidR="00663150" w:rsidRDefault="00C26268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35.417,00</w:t>
            </w:r>
          </w:p>
        </w:tc>
        <w:tc>
          <w:tcPr>
            <w:tcW w:w="1277" w:type="dxa"/>
            <w:shd w:val="clear" w:color="auto" w:fill="DEEAF6"/>
          </w:tcPr>
          <w:p w14:paraId="623C22F8" w14:textId="302D8CE6" w:rsidR="00663150" w:rsidRDefault="00C26268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 xml:space="preserve">  36.755,00</w:t>
            </w:r>
          </w:p>
        </w:tc>
        <w:tc>
          <w:tcPr>
            <w:tcW w:w="1274" w:type="dxa"/>
            <w:shd w:val="clear" w:color="auto" w:fill="DEEAF6"/>
          </w:tcPr>
          <w:p w14:paraId="38167BE8" w14:textId="6C9804C3" w:rsidR="00663150" w:rsidRDefault="00C262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1.338,00</w:t>
            </w:r>
          </w:p>
        </w:tc>
      </w:tr>
      <w:tr w:rsidR="004C1682" w14:paraId="14EA36DB" w14:textId="77777777" w:rsidTr="00F91526">
        <w:trPr>
          <w:trHeight w:val="218"/>
        </w:trPr>
        <w:tc>
          <w:tcPr>
            <w:tcW w:w="704" w:type="dxa"/>
            <w:shd w:val="clear" w:color="auto" w:fill="DEEAF6"/>
          </w:tcPr>
          <w:p w14:paraId="70009427" w14:textId="25177F50" w:rsidR="004C1682" w:rsidRDefault="003F01AD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  <w:shd w:val="clear" w:color="auto" w:fill="DEEAF6"/>
          </w:tcPr>
          <w:p w14:paraId="614097B9" w14:textId="0DFFB6A4" w:rsidR="004C1682" w:rsidRDefault="003F01AD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PREFEITURA MUNICIPAL</w:t>
            </w:r>
          </w:p>
        </w:tc>
        <w:tc>
          <w:tcPr>
            <w:tcW w:w="893" w:type="dxa"/>
            <w:shd w:val="clear" w:color="auto" w:fill="DEEAF6"/>
          </w:tcPr>
          <w:p w14:paraId="06098248" w14:textId="7A33C18E" w:rsidR="004C1682" w:rsidRDefault="003F01AD" w:rsidP="003F01AD">
            <w:pPr>
              <w:pStyle w:val="TableParagraph"/>
              <w:spacing w:line="198" w:lineRule="exact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125,50</w:t>
            </w:r>
          </w:p>
        </w:tc>
        <w:tc>
          <w:tcPr>
            <w:tcW w:w="1235" w:type="dxa"/>
            <w:shd w:val="clear" w:color="auto" w:fill="DEEAF6"/>
          </w:tcPr>
          <w:p w14:paraId="35D7B11D" w14:textId="2EF18B00" w:rsidR="004C1682" w:rsidRDefault="00E5536B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313,75</w:t>
            </w:r>
          </w:p>
        </w:tc>
        <w:tc>
          <w:tcPr>
            <w:tcW w:w="1276" w:type="dxa"/>
            <w:shd w:val="clear" w:color="auto" w:fill="DEEAF6"/>
          </w:tcPr>
          <w:p w14:paraId="2EB27EC7" w14:textId="075E4DB9" w:rsidR="004C1682" w:rsidRDefault="00C26268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21.021,00</w:t>
            </w:r>
          </w:p>
        </w:tc>
        <w:tc>
          <w:tcPr>
            <w:tcW w:w="1277" w:type="dxa"/>
            <w:shd w:val="clear" w:color="auto" w:fill="DEEAF6"/>
          </w:tcPr>
          <w:p w14:paraId="10B65896" w14:textId="20362107" w:rsidR="004C1682" w:rsidRDefault="00C26268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 xml:space="preserve">  26.354,00</w:t>
            </w:r>
          </w:p>
        </w:tc>
        <w:tc>
          <w:tcPr>
            <w:tcW w:w="1274" w:type="dxa"/>
            <w:shd w:val="clear" w:color="auto" w:fill="DEEAF6"/>
          </w:tcPr>
          <w:p w14:paraId="3E712020" w14:textId="14EEE0AF" w:rsidR="004C1682" w:rsidRDefault="00C262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5.333,00</w:t>
            </w:r>
          </w:p>
        </w:tc>
      </w:tr>
      <w:tr w:rsidR="009224A4" w14:paraId="658C43C4" w14:textId="77777777" w:rsidTr="00F91526">
        <w:trPr>
          <w:trHeight w:val="220"/>
        </w:trPr>
        <w:tc>
          <w:tcPr>
            <w:tcW w:w="704" w:type="dxa"/>
          </w:tcPr>
          <w:p w14:paraId="0C9AD5FC" w14:textId="313C325F" w:rsidR="009224A4" w:rsidRDefault="009224A4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</w:p>
        </w:tc>
        <w:tc>
          <w:tcPr>
            <w:tcW w:w="2883" w:type="dxa"/>
          </w:tcPr>
          <w:p w14:paraId="2B0FD973" w14:textId="5BD7D7E6" w:rsidR="009224A4" w:rsidRDefault="003F01AD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893" w:type="dxa"/>
          </w:tcPr>
          <w:p w14:paraId="1A15CD66" w14:textId="77777777" w:rsidR="009224A4" w:rsidRDefault="009224A4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51757382" w14:textId="77777777" w:rsidR="009224A4" w:rsidRDefault="009224A4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21DD1792" w14:textId="2107607A" w:rsidR="009224A4" w:rsidRDefault="009224A4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39DE119C" w14:textId="57A6473A" w:rsidR="009224A4" w:rsidRDefault="009224A4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</w:p>
        </w:tc>
        <w:tc>
          <w:tcPr>
            <w:tcW w:w="1274" w:type="dxa"/>
          </w:tcPr>
          <w:p w14:paraId="175651C9" w14:textId="654A489D" w:rsidR="009224A4" w:rsidRDefault="00C262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10.064,25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19F06F05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EC0D7F">
        <w:rPr>
          <w:sz w:val="20"/>
        </w:rPr>
        <w:t>29</w:t>
      </w:r>
      <w:r w:rsidR="00B9194A">
        <w:rPr>
          <w:sz w:val="20"/>
        </w:rPr>
        <w:t xml:space="preserve"> de </w:t>
      </w:r>
      <w:r w:rsidR="00EC0D7F">
        <w:rPr>
          <w:sz w:val="20"/>
        </w:rPr>
        <w:t xml:space="preserve">outubro </w:t>
      </w:r>
      <w:bookmarkStart w:id="4" w:name="_GoBack"/>
      <w:bookmarkEnd w:id="4"/>
      <w:r w:rsidR="00B9194A">
        <w:rPr>
          <w:sz w:val="20"/>
        </w:rPr>
        <w:t>de 2024.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5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6" w:name="_Hlk160718293"/>
      <w:bookmarkStart w:id="7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6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5"/>
      <w:bookmarkEnd w:id="7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ADA4C" w14:textId="77777777" w:rsidR="0045397C" w:rsidRDefault="0045397C">
      <w:r>
        <w:separator/>
      </w:r>
    </w:p>
  </w:endnote>
  <w:endnote w:type="continuationSeparator" w:id="0">
    <w:p w14:paraId="77B60C79" w14:textId="77777777" w:rsidR="0045397C" w:rsidRDefault="0045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5B9E0" w14:textId="77777777" w:rsidR="0045397C" w:rsidRDefault="0045397C">
      <w:r>
        <w:separator/>
      </w:r>
    </w:p>
  </w:footnote>
  <w:footnote w:type="continuationSeparator" w:id="0">
    <w:p w14:paraId="666E6AAE" w14:textId="77777777" w:rsidR="0045397C" w:rsidRDefault="0045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150"/>
    <w:rsid w:val="00025719"/>
    <w:rsid w:val="000E548E"/>
    <w:rsid w:val="000F0DDF"/>
    <w:rsid w:val="00124AC7"/>
    <w:rsid w:val="00156051"/>
    <w:rsid w:val="001D55F0"/>
    <w:rsid w:val="001E24E2"/>
    <w:rsid w:val="002458B5"/>
    <w:rsid w:val="002519EC"/>
    <w:rsid w:val="00254F55"/>
    <w:rsid w:val="002B06F6"/>
    <w:rsid w:val="002C1F31"/>
    <w:rsid w:val="002F28FD"/>
    <w:rsid w:val="003E64EE"/>
    <w:rsid w:val="003F01AD"/>
    <w:rsid w:val="00411D56"/>
    <w:rsid w:val="004430EB"/>
    <w:rsid w:val="0045397C"/>
    <w:rsid w:val="00470AB4"/>
    <w:rsid w:val="004C1682"/>
    <w:rsid w:val="0050446A"/>
    <w:rsid w:val="00546489"/>
    <w:rsid w:val="005557F4"/>
    <w:rsid w:val="00581DC6"/>
    <w:rsid w:val="005B48BD"/>
    <w:rsid w:val="005E3F00"/>
    <w:rsid w:val="00636507"/>
    <w:rsid w:val="00652542"/>
    <w:rsid w:val="00662B43"/>
    <w:rsid w:val="00663150"/>
    <w:rsid w:val="0066651D"/>
    <w:rsid w:val="00696A66"/>
    <w:rsid w:val="006B42EF"/>
    <w:rsid w:val="006B5D64"/>
    <w:rsid w:val="006F03C2"/>
    <w:rsid w:val="007264E0"/>
    <w:rsid w:val="00727FF0"/>
    <w:rsid w:val="007642B4"/>
    <w:rsid w:val="00784E12"/>
    <w:rsid w:val="007D2FE6"/>
    <w:rsid w:val="007D63DD"/>
    <w:rsid w:val="008528B2"/>
    <w:rsid w:val="00881441"/>
    <w:rsid w:val="008B60D8"/>
    <w:rsid w:val="008C1071"/>
    <w:rsid w:val="008D3B5E"/>
    <w:rsid w:val="009224A4"/>
    <w:rsid w:val="009244AF"/>
    <w:rsid w:val="009C108A"/>
    <w:rsid w:val="009C36AC"/>
    <w:rsid w:val="009E0E20"/>
    <w:rsid w:val="00A00BB7"/>
    <w:rsid w:val="00A44271"/>
    <w:rsid w:val="00A81F91"/>
    <w:rsid w:val="00AC4CDD"/>
    <w:rsid w:val="00AD4C09"/>
    <w:rsid w:val="00B76408"/>
    <w:rsid w:val="00B82ADA"/>
    <w:rsid w:val="00B9194A"/>
    <w:rsid w:val="00B92EAF"/>
    <w:rsid w:val="00BB2B40"/>
    <w:rsid w:val="00BF24CE"/>
    <w:rsid w:val="00BF428D"/>
    <w:rsid w:val="00C07AA5"/>
    <w:rsid w:val="00C26268"/>
    <w:rsid w:val="00C31370"/>
    <w:rsid w:val="00C85138"/>
    <w:rsid w:val="00C9437B"/>
    <w:rsid w:val="00CA6C83"/>
    <w:rsid w:val="00D002B3"/>
    <w:rsid w:val="00DA254A"/>
    <w:rsid w:val="00DB699C"/>
    <w:rsid w:val="00E0682D"/>
    <w:rsid w:val="00E36119"/>
    <w:rsid w:val="00E5536B"/>
    <w:rsid w:val="00EA6077"/>
    <w:rsid w:val="00EB7979"/>
    <w:rsid w:val="00EC0D7F"/>
    <w:rsid w:val="00EC7A15"/>
    <w:rsid w:val="00F12C27"/>
    <w:rsid w:val="00F56906"/>
    <w:rsid w:val="00F9152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E553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36B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5D04-C11D-488C-A896-F97F3EB1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</cp:lastModifiedBy>
  <cp:revision>52</cp:revision>
  <cp:lastPrinted>2024-09-18T17:52:00Z</cp:lastPrinted>
  <dcterms:created xsi:type="dcterms:W3CDTF">2024-03-07T11:58:00Z</dcterms:created>
  <dcterms:modified xsi:type="dcterms:W3CDTF">2024-10-29T10:47:00Z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