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770728" w14:textId="290F9F3B" w:rsidR="00946011" w:rsidRPr="005E71A9" w:rsidRDefault="0028692C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5E71A9">
        <w:rPr>
          <w:rFonts w:ascii="Times New Roman" w:hAnsi="Times New Roman" w:cs="Times New Roman"/>
          <w:b/>
          <w:sz w:val="21"/>
          <w:szCs w:val="21"/>
        </w:rPr>
        <w:t>ESTUDO TÉCNICO PRELIMINAR</w:t>
      </w:r>
    </w:p>
    <w:p w14:paraId="1E5A35F7" w14:textId="2E4C8819" w:rsidR="00946011" w:rsidRPr="005E71A9" w:rsidRDefault="00946011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BD1339" w14:textId="1A456BB6" w:rsidR="00357F2C" w:rsidRPr="005E71A9" w:rsidRDefault="00357F2C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>Município de</w:t>
      </w:r>
      <w:r w:rsidR="00D93ED8" w:rsidRPr="005E71A9">
        <w:rPr>
          <w:rFonts w:ascii="Times New Roman" w:hAnsi="Times New Roman" w:cs="Times New Roman"/>
          <w:sz w:val="21"/>
          <w:szCs w:val="21"/>
        </w:rPr>
        <w:t xml:space="preserve"> Porto Xavier-RS</w:t>
      </w:r>
    </w:p>
    <w:p w14:paraId="6E016256" w14:textId="7691EBC5" w:rsidR="002664D0" w:rsidRPr="005E71A9" w:rsidRDefault="00D93ED8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>Gabinete do Prefeito</w:t>
      </w:r>
    </w:p>
    <w:p w14:paraId="536298E0" w14:textId="7441EA46" w:rsidR="00357F2C" w:rsidRPr="005E71A9" w:rsidRDefault="00AF43CC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 xml:space="preserve">Necessidade da Administração: </w:t>
      </w:r>
      <w:r w:rsidR="00D93ED8" w:rsidRPr="005E71A9">
        <w:rPr>
          <w:rFonts w:ascii="Times New Roman" w:hAnsi="Times New Roman" w:cs="Times New Roman"/>
          <w:sz w:val="21"/>
          <w:szCs w:val="21"/>
        </w:rPr>
        <w:t>Contratação de empresa para aluguel de brinquedos para eventos da Administração municipal.</w:t>
      </w:r>
    </w:p>
    <w:p w14:paraId="274572A9" w14:textId="77777777" w:rsidR="00D008B8" w:rsidRPr="005E71A9" w:rsidRDefault="00D008B8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5970B3C" w14:textId="01E14BCB" w:rsidR="00F62C01" w:rsidRPr="005E71A9" w:rsidRDefault="00D008B8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E71A9">
        <w:rPr>
          <w:rFonts w:ascii="Times New Roman" w:hAnsi="Times New Roman" w:cs="Times New Roman"/>
          <w:b/>
          <w:bCs/>
          <w:sz w:val="21"/>
          <w:szCs w:val="21"/>
        </w:rPr>
        <w:t>1. DESCRIÇÃO DA NECESSIDADE</w:t>
      </w:r>
    </w:p>
    <w:p w14:paraId="5A9D3893" w14:textId="10BC8540" w:rsidR="00825E47" w:rsidRPr="005E71A9" w:rsidRDefault="00825E47" w:rsidP="00D93ED8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 xml:space="preserve">O objeto da presente licitação é a contratação de empresa especializada para </w:t>
      </w:r>
      <w:r w:rsidR="002664D0" w:rsidRPr="005E71A9">
        <w:rPr>
          <w:rFonts w:ascii="Times New Roman" w:hAnsi="Times New Roman" w:cs="Times New Roman"/>
          <w:sz w:val="21"/>
          <w:szCs w:val="21"/>
        </w:rPr>
        <w:t xml:space="preserve">o </w:t>
      </w:r>
      <w:r w:rsidR="00D93ED8" w:rsidRPr="005E71A9">
        <w:rPr>
          <w:rFonts w:ascii="Times New Roman" w:hAnsi="Times New Roman" w:cs="Times New Roman"/>
          <w:sz w:val="21"/>
          <w:szCs w:val="21"/>
        </w:rPr>
        <w:t>aluguel de brinquedos para festas e eventos da administração municipal</w:t>
      </w:r>
      <w:r w:rsidRPr="005E71A9">
        <w:rPr>
          <w:rFonts w:ascii="Times New Roman" w:hAnsi="Times New Roman" w:cs="Times New Roman"/>
          <w:sz w:val="21"/>
          <w:szCs w:val="21"/>
        </w:rPr>
        <w:t>.</w:t>
      </w:r>
    </w:p>
    <w:p w14:paraId="0CA49758" w14:textId="3E15438C" w:rsidR="00D93ED8" w:rsidRPr="005E71A9" w:rsidRDefault="00825E47" w:rsidP="00D93ED8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>A contratação é necessária para</w:t>
      </w:r>
      <w:r w:rsidR="00D93ED8" w:rsidRPr="005E71A9">
        <w:rPr>
          <w:rFonts w:ascii="Times New Roman" w:hAnsi="Times New Roman" w:cs="Times New Roman"/>
          <w:sz w:val="21"/>
          <w:szCs w:val="21"/>
        </w:rPr>
        <w:t xml:space="preserve"> fortalecer as interações entre </w:t>
      </w:r>
      <w:r w:rsidR="00BC2D2A" w:rsidRPr="005E71A9">
        <w:rPr>
          <w:rFonts w:ascii="Times New Roman" w:hAnsi="Times New Roman" w:cs="Times New Roman"/>
          <w:sz w:val="21"/>
          <w:szCs w:val="21"/>
        </w:rPr>
        <w:t>as crianças</w:t>
      </w:r>
      <w:r w:rsidR="00D93ED8" w:rsidRPr="005E71A9">
        <w:rPr>
          <w:rFonts w:ascii="Times New Roman" w:hAnsi="Times New Roman" w:cs="Times New Roman"/>
          <w:sz w:val="21"/>
          <w:szCs w:val="21"/>
        </w:rPr>
        <w:t xml:space="preserve"> do município, estimulando convívio grupal, comunitário e social.</w:t>
      </w:r>
    </w:p>
    <w:p w14:paraId="3F163ABE" w14:textId="0BC5FE8F" w:rsidR="00EB0EA8" w:rsidRPr="005E71A9" w:rsidRDefault="002664D0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 xml:space="preserve"> </w:t>
      </w:r>
      <w:r w:rsidR="00D93ED8" w:rsidRPr="005E71A9">
        <w:rPr>
          <w:rFonts w:ascii="Times New Roman" w:hAnsi="Times New Roman" w:cs="Times New Roman"/>
          <w:sz w:val="21"/>
          <w:szCs w:val="21"/>
        </w:rPr>
        <w:tab/>
        <w:t>O objeto tem por finalidade atender as diversas secretarias durante o ano de 2024.</w:t>
      </w:r>
    </w:p>
    <w:p w14:paraId="45C36F4B" w14:textId="77777777" w:rsidR="001626B2" w:rsidRPr="005E71A9" w:rsidRDefault="001626B2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DE3530C" w14:textId="34CC54FD" w:rsidR="00EB0EA8" w:rsidRPr="005E71A9" w:rsidRDefault="00375ABF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E71A9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EB0EA8" w:rsidRPr="005E71A9">
        <w:rPr>
          <w:rFonts w:ascii="Times New Roman" w:hAnsi="Times New Roman" w:cs="Times New Roman"/>
          <w:b/>
          <w:bCs/>
          <w:sz w:val="21"/>
          <w:szCs w:val="21"/>
        </w:rPr>
        <w:t>. ESTIMATIVA DAS QUANTIDADES</w:t>
      </w:r>
    </w:p>
    <w:p w14:paraId="6FB18E6B" w14:textId="3D564342" w:rsidR="002F26B5" w:rsidRPr="005E71A9" w:rsidRDefault="002F26B5" w:rsidP="00BC2D2A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>O</w:t>
      </w:r>
      <w:r w:rsidR="009D1080" w:rsidRPr="005E71A9">
        <w:rPr>
          <w:rFonts w:ascii="Times New Roman" w:hAnsi="Times New Roman" w:cs="Times New Roman"/>
          <w:sz w:val="21"/>
          <w:szCs w:val="21"/>
        </w:rPr>
        <w:t>s</w:t>
      </w:r>
      <w:r w:rsidR="00EB0EA8" w:rsidRPr="005E71A9">
        <w:rPr>
          <w:rFonts w:ascii="Times New Roman" w:hAnsi="Times New Roman" w:cs="Times New Roman"/>
          <w:sz w:val="21"/>
          <w:szCs w:val="21"/>
        </w:rPr>
        <w:t xml:space="preserve"> quantitativo</w:t>
      </w:r>
      <w:r w:rsidR="009D1080" w:rsidRPr="005E71A9">
        <w:rPr>
          <w:rFonts w:ascii="Times New Roman" w:hAnsi="Times New Roman" w:cs="Times New Roman"/>
          <w:sz w:val="21"/>
          <w:szCs w:val="21"/>
        </w:rPr>
        <w:t>s</w:t>
      </w:r>
      <w:r w:rsidR="00EB0EA8" w:rsidRPr="005E71A9">
        <w:rPr>
          <w:rFonts w:ascii="Times New Roman" w:hAnsi="Times New Roman" w:cs="Times New Roman"/>
          <w:sz w:val="21"/>
          <w:szCs w:val="21"/>
        </w:rPr>
        <w:t xml:space="preserve"> es</w:t>
      </w:r>
      <w:r w:rsidRPr="005E71A9">
        <w:rPr>
          <w:rFonts w:ascii="Times New Roman" w:hAnsi="Times New Roman" w:cs="Times New Roman"/>
          <w:sz w:val="21"/>
          <w:szCs w:val="21"/>
        </w:rPr>
        <w:t>timado</w:t>
      </w:r>
      <w:r w:rsidR="009D1080" w:rsidRPr="005E71A9">
        <w:rPr>
          <w:rFonts w:ascii="Times New Roman" w:hAnsi="Times New Roman" w:cs="Times New Roman"/>
          <w:sz w:val="21"/>
          <w:szCs w:val="21"/>
        </w:rPr>
        <w:t>s</w:t>
      </w:r>
      <w:r w:rsidRPr="005E71A9">
        <w:rPr>
          <w:rFonts w:ascii="Times New Roman" w:hAnsi="Times New Roman" w:cs="Times New Roman"/>
          <w:sz w:val="21"/>
          <w:szCs w:val="21"/>
        </w:rPr>
        <w:t xml:space="preserve"> para a contratação pretendida t</w:t>
      </w:r>
      <w:r w:rsidR="009D1080" w:rsidRPr="005E71A9">
        <w:rPr>
          <w:rFonts w:ascii="Times New Roman" w:hAnsi="Times New Roman" w:cs="Times New Roman"/>
          <w:sz w:val="21"/>
          <w:szCs w:val="21"/>
        </w:rPr>
        <w:t>ê</w:t>
      </w:r>
      <w:r w:rsidRPr="005E71A9">
        <w:rPr>
          <w:rFonts w:ascii="Times New Roman" w:hAnsi="Times New Roman" w:cs="Times New Roman"/>
          <w:sz w:val="21"/>
          <w:szCs w:val="21"/>
        </w:rPr>
        <w:t>m como parâmetro a</w:t>
      </w:r>
      <w:r w:rsidR="009D1080" w:rsidRPr="005E71A9">
        <w:rPr>
          <w:rFonts w:ascii="Times New Roman" w:hAnsi="Times New Roman" w:cs="Times New Roman"/>
          <w:sz w:val="21"/>
          <w:szCs w:val="21"/>
        </w:rPr>
        <w:t>s</w:t>
      </w:r>
      <w:r w:rsidRPr="005E71A9">
        <w:rPr>
          <w:rFonts w:ascii="Times New Roman" w:hAnsi="Times New Roman" w:cs="Times New Roman"/>
          <w:sz w:val="21"/>
          <w:szCs w:val="21"/>
        </w:rPr>
        <w:t xml:space="preserve"> última</w:t>
      </w:r>
      <w:r w:rsidR="009D1080" w:rsidRPr="005E71A9">
        <w:rPr>
          <w:rFonts w:ascii="Times New Roman" w:hAnsi="Times New Roman" w:cs="Times New Roman"/>
          <w:sz w:val="21"/>
          <w:szCs w:val="21"/>
        </w:rPr>
        <w:t>s</w:t>
      </w:r>
      <w:r w:rsidRPr="005E71A9">
        <w:rPr>
          <w:rFonts w:ascii="Times New Roman" w:hAnsi="Times New Roman" w:cs="Times New Roman"/>
          <w:sz w:val="21"/>
          <w:szCs w:val="21"/>
        </w:rPr>
        <w:t xml:space="preserve"> contrat</w:t>
      </w:r>
      <w:r w:rsidR="009D1080" w:rsidRPr="005E71A9">
        <w:rPr>
          <w:rFonts w:ascii="Times New Roman" w:hAnsi="Times New Roman" w:cs="Times New Roman"/>
          <w:sz w:val="21"/>
          <w:szCs w:val="21"/>
        </w:rPr>
        <w:t>ações</w:t>
      </w:r>
      <w:r w:rsidRPr="005E71A9">
        <w:rPr>
          <w:rFonts w:ascii="Times New Roman" w:hAnsi="Times New Roman" w:cs="Times New Roman"/>
          <w:sz w:val="21"/>
          <w:szCs w:val="21"/>
        </w:rPr>
        <w:t xml:space="preserve"> com o mesmo objeto</w:t>
      </w:r>
      <w:r w:rsidR="00E40AD7" w:rsidRPr="005E71A9">
        <w:rPr>
          <w:rFonts w:ascii="Times New Roman" w:hAnsi="Times New Roman" w:cs="Times New Roman"/>
          <w:sz w:val="21"/>
          <w:szCs w:val="21"/>
        </w:rPr>
        <w:t>, realizadas por esta Administração</w:t>
      </w:r>
      <w:r w:rsidRPr="005E71A9">
        <w:rPr>
          <w:rFonts w:ascii="Times New Roman" w:hAnsi="Times New Roman" w:cs="Times New Roman"/>
          <w:sz w:val="21"/>
          <w:szCs w:val="21"/>
        </w:rPr>
        <w:t xml:space="preserve"> </w:t>
      </w:r>
      <w:r w:rsidR="001626B2" w:rsidRPr="005E71A9">
        <w:rPr>
          <w:rFonts w:ascii="Times New Roman" w:hAnsi="Times New Roman" w:cs="Times New Roman"/>
          <w:sz w:val="21"/>
          <w:szCs w:val="21"/>
        </w:rPr>
        <w:t>durante o ano de 2023</w:t>
      </w:r>
      <w:r w:rsidRPr="005E71A9">
        <w:rPr>
          <w:rFonts w:ascii="Times New Roman" w:hAnsi="Times New Roman" w:cs="Times New Roman"/>
          <w:sz w:val="21"/>
          <w:szCs w:val="21"/>
        </w:rPr>
        <w:t>.</w:t>
      </w:r>
      <w:r w:rsidR="00A7152C" w:rsidRPr="005E71A9">
        <w:rPr>
          <w:rFonts w:ascii="Times New Roman" w:hAnsi="Times New Roman" w:cs="Times New Roman"/>
          <w:sz w:val="21"/>
          <w:szCs w:val="21"/>
        </w:rPr>
        <w:t xml:space="preserve"> </w:t>
      </w:r>
      <w:r w:rsidRPr="005E71A9">
        <w:rPr>
          <w:rFonts w:ascii="Times New Roman" w:hAnsi="Times New Roman" w:cs="Times New Roman"/>
          <w:sz w:val="21"/>
          <w:szCs w:val="21"/>
        </w:rPr>
        <w:t>Neste sentido, seque memória de cálculo:</w:t>
      </w:r>
    </w:p>
    <w:p w14:paraId="29D726C3" w14:textId="77777777" w:rsidR="00A7152C" w:rsidRPr="005E71A9" w:rsidRDefault="00A7152C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245"/>
        <w:gridCol w:w="1701"/>
        <w:gridCol w:w="1269"/>
      </w:tblGrid>
      <w:tr w:rsidR="009D1080" w:rsidRPr="005E71A9" w14:paraId="2D471596" w14:textId="77777777" w:rsidTr="001626B2">
        <w:trPr>
          <w:jc w:val="center"/>
        </w:trPr>
        <w:tc>
          <w:tcPr>
            <w:tcW w:w="846" w:type="dxa"/>
          </w:tcPr>
          <w:p w14:paraId="4F3B7667" w14:textId="349F490C" w:rsidR="009D1080" w:rsidRPr="005E71A9" w:rsidRDefault="001626B2" w:rsidP="00BB22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71A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245" w:type="dxa"/>
          </w:tcPr>
          <w:p w14:paraId="373A2F46" w14:textId="2927B882" w:rsidR="009D1080" w:rsidRPr="005E71A9" w:rsidRDefault="009D1080" w:rsidP="00BB22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71A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1701" w:type="dxa"/>
          </w:tcPr>
          <w:p w14:paraId="4E3472CF" w14:textId="2A42C808" w:rsidR="009D1080" w:rsidRPr="005E71A9" w:rsidRDefault="001626B2" w:rsidP="001626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71A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1269" w:type="dxa"/>
          </w:tcPr>
          <w:p w14:paraId="56AD3A5F" w14:textId="77777777" w:rsidR="009D1080" w:rsidRPr="005E71A9" w:rsidRDefault="009D1080" w:rsidP="00BB22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E71A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PERÍODO</w:t>
            </w:r>
          </w:p>
          <w:p w14:paraId="4D255BFF" w14:textId="5DC231CA" w:rsidR="009D1080" w:rsidRPr="005E71A9" w:rsidRDefault="009D1080" w:rsidP="00D81169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1080" w:rsidRPr="005E71A9" w14:paraId="4B21B62C" w14:textId="77777777" w:rsidTr="001626B2">
        <w:trPr>
          <w:jc w:val="center"/>
        </w:trPr>
        <w:tc>
          <w:tcPr>
            <w:tcW w:w="846" w:type="dxa"/>
          </w:tcPr>
          <w:p w14:paraId="0A1E33DC" w14:textId="0BB49CE0" w:rsidR="009D1080" w:rsidRPr="005E71A9" w:rsidRDefault="001626B2" w:rsidP="00BB22CE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71A9"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5245" w:type="dxa"/>
          </w:tcPr>
          <w:p w14:paraId="6A487B82" w14:textId="77777777" w:rsidR="006F7BD3" w:rsidRDefault="001626B2" w:rsidP="00BB22CE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71A9">
              <w:rPr>
                <w:rFonts w:ascii="Times New Roman" w:hAnsi="Times New Roman" w:cs="Times New Roman"/>
                <w:sz w:val="21"/>
                <w:szCs w:val="21"/>
              </w:rPr>
              <w:t>Aluguel de brinquedos por 4 horas de evento, com 4 brinquedos (incluso</w:t>
            </w:r>
            <w:r w:rsidR="00F05346" w:rsidRPr="005E71A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E71A9">
              <w:rPr>
                <w:rFonts w:ascii="Times New Roman" w:hAnsi="Times New Roman" w:cs="Times New Roman"/>
                <w:sz w:val="21"/>
                <w:szCs w:val="21"/>
              </w:rPr>
              <w:t>monitores) a escolha do município, dentre eles</w:t>
            </w:r>
            <w:r w:rsidR="006F7BD3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43B831E0" w14:textId="6E084FDF" w:rsidR="001626B2" w:rsidRPr="005E71A9" w:rsidRDefault="0017558C" w:rsidP="00BB22CE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_Hlk155778090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Área baby, </w:t>
            </w:r>
            <w:r w:rsidR="001626B2" w:rsidRPr="005E71A9">
              <w:rPr>
                <w:rFonts w:ascii="Times New Roman" w:hAnsi="Times New Roman" w:cs="Times New Roman"/>
                <w:sz w:val="21"/>
                <w:szCs w:val="21"/>
              </w:rPr>
              <w:t>piscina de bolinhas 1,5m,</w:t>
            </w:r>
            <w:r w:rsidR="006F7BD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626B2" w:rsidRPr="005E71A9">
              <w:rPr>
                <w:rFonts w:ascii="Times New Roman" w:hAnsi="Times New Roman" w:cs="Times New Roman"/>
                <w:sz w:val="21"/>
                <w:szCs w:val="21"/>
              </w:rPr>
              <w:t xml:space="preserve">piscina de bolinhas 2,0m, piscina de bolinhas inflável, cama </w:t>
            </w:r>
            <w:r w:rsidR="00F05346" w:rsidRPr="005E71A9">
              <w:rPr>
                <w:rFonts w:ascii="Times New Roman" w:hAnsi="Times New Roman" w:cs="Times New Roman"/>
                <w:sz w:val="21"/>
                <w:szCs w:val="21"/>
              </w:rPr>
              <w:t xml:space="preserve">elástica 2,44m, cama elástica 3,05m, cama elástica 3,66m, cama elástica 4,27m, mesa de bilhar, mesa de </w:t>
            </w:r>
            <w:r w:rsidR="00AD7635" w:rsidRPr="005E71A9">
              <w:rPr>
                <w:rFonts w:ascii="Times New Roman" w:hAnsi="Times New Roman" w:cs="Times New Roman"/>
                <w:sz w:val="21"/>
                <w:szCs w:val="21"/>
              </w:rPr>
              <w:t>pebolim</w:t>
            </w:r>
            <w:r w:rsidR="00F05346" w:rsidRPr="005E71A9">
              <w:rPr>
                <w:rFonts w:ascii="Times New Roman" w:hAnsi="Times New Roman" w:cs="Times New Roman"/>
                <w:sz w:val="21"/>
                <w:szCs w:val="21"/>
              </w:rPr>
              <w:t xml:space="preserve">, mesa alta tensão, mesa aero hockey, </w:t>
            </w:r>
            <w:r w:rsidR="00AD7635" w:rsidRPr="005E71A9">
              <w:rPr>
                <w:rFonts w:ascii="Times New Roman" w:hAnsi="Times New Roman" w:cs="Times New Roman"/>
                <w:sz w:val="21"/>
                <w:szCs w:val="21"/>
              </w:rPr>
              <w:t>basquete duplo, tombo legal, mesa pingue pongue, kit play tigrão, mini tobogã com piscina de bolinha, tobogã M, tobogã G,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tobogã barco, toboágua,</w:t>
            </w:r>
            <w:r w:rsidR="00AD7635" w:rsidRPr="005E71A9">
              <w:rPr>
                <w:rFonts w:ascii="Times New Roman" w:hAnsi="Times New Roman" w:cs="Times New Roman"/>
                <w:sz w:val="21"/>
                <w:szCs w:val="21"/>
              </w:rPr>
              <w:t xml:space="preserve"> tobogã com piscina, tobogã duplo patrulha canina, tobogã duplo com piscina de bolinha, chute ao gol, guerra de cotonete, centopeia, futebol de sabão, giro radical, touro mecânico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giroscópio.</w:t>
            </w:r>
            <w:bookmarkEnd w:id="1"/>
          </w:p>
        </w:tc>
        <w:tc>
          <w:tcPr>
            <w:tcW w:w="1701" w:type="dxa"/>
          </w:tcPr>
          <w:p w14:paraId="0C5E25A3" w14:textId="7FD5C49B" w:rsidR="009D1080" w:rsidRPr="005E71A9" w:rsidRDefault="001626B2" w:rsidP="00BB22CE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71A9">
              <w:rPr>
                <w:rFonts w:ascii="Times New Roman" w:hAnsi="Times New Roman" w:cs="Times New Roman"/>
                <w:sz w:val="21"/>
                <w:szCs w:val="21"/>
              </w:rPr>
              <w:t>300 horas</w:t>
            </w:r>
          </w:p>
        </w:tc>
        <w:tc>
          <w:tcPr>
            <w:tcW w:w="1269" w:type="dxa"/>
          </w:tcPr>
          <w:p w14:paraId="12D687BA" w14:textId="595455DF" w:rsidR="009D1080" w:rsidRPr="005E71A9" w:rsidRDefault="001626B2" w:rsidP="00BB22CE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71A9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</w:tbl>
    <w:p w14:paraId="064C693B" w14:textId="61B010E4" w:rsidR="009D1080" w:rsidRDefault="009D1080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A84DE7C" w14:textId="165804DB" w:rsidR="00BC2D2A" w:rsidRDefault="00BC2D2A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BEF5D0" w14:textId="3DE90581" w:rsidR="00BC2D2A" w:rsidRDefault="00BC2D2A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F84F0A5" w14:textId="1A10A80F" w:rsidR="00BC2D2A" w:rsidRDefault="00BC2D2A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0C112F" w14:textId="77777777" w:rsidR="00BC2D2A" w:rsidRPr="005E71A9" w:rsidRDefault="00BC2D2A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C621514" w14:textId="2F525674" w:rsidR="00E40AD7" w:rsidRPr="00BC2D2A" w:rsidRDefault="00375ABF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E71A9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E40AD7" w:rsidRPr="005E71A9">
        <w:rPr>
          <w:rFonts w:ascii="Times New Roman" w:hAnsi="Times New Roman" w:cs="Times New Roman"/>
          <w:b/>
          <w:bCs/>
          <w:sz w:val="21"/>
          <w:szCs w:val="21"/>
        </w:rPr>
        <w:t>. ALTERNATIVAS DISPONÍVEIS NO MERCADO</w:t>
      </w:r>
    </w:p>
    <w:p w14:paraId="6778DCD2" w14:textId="5DCF5373" w:rsidR="0083187F" w:rsidRPr="005E71A9" w:rsidRDefault="0083187F" w:rsidP="00AD7635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>Conforme pesquisa de mercado realizada, p</w:t>
      </w:r>
      <w:r w:rsidR="00E40AD7" w:rsidRPr="005E71A9">
        <w:rPr>
          <w:rFonts w:ascii="Times New Roman" w:hAnsi="Times New Roman" w:cs="Times New Roman"/>
          <w:sz w:val="21"/>
          <w:szCs w:val="21"/>
        </w:rPr>
        <w:t>ara solução da necessidade administrativa, objeto do presente Estudo Técnico Preliminar, vislumbra-se possível</w:t>
      </w:r>
      <w:r w:rsidRPr="005E71A9">
        <w:rPr>
          <w:rFonts w:ascii="Times New Roman" w:hAnsi="Times New Roman" w:cs="Times New Roman"/>
          <w:sz w:val="21"/>
          <w:szCs w:val="21"/>
        </w:rPr>
        <w:t>, sob o aspecto técnico e econômico,</w:t>
      </w:r>
      <w:r w:rsidR="00E40AD7" w:rsidRPr="005E71A9">
        <w:rPr>
          <w:rFonts w:ascii="Times New Roman" w:hAnsi="Times New Roman" w:cs="Times New Roman"/>
          <w:sz w:val="21"/>
          <w:szCs w:val="21"/>
        </w:rPr>
        <w:t xml:space="preserve"> a contratação de empresas especializadas em </w:t>
      </w:r>
      <w:r w:rsidR="00AD7635" w:rsidRPr="005E71A9">
        <w:rPr>
          <w:rFonts w:ascii="Times New Roman" w:hAnsi="Times New Roman" w:cs="Times New Roman"/>
          <w:sz w:val="21"/>
          <w:szCs w:val="21"/>
        </w:rPr>
        <w:t>aluguel de brinquedos para eventos</w:t>
      </w:r>
      <w:r w:rsidR="00BC2D2A">
        <w:rPr>
          <w:rFonts w:ascii="Times New Roman" w:hAnsi="Times New Roman" w:cs="Times New Roman"/>
          <w:sz w:val="21"/>
          <w:szCs w:val="21"/>
        </w:rPr>
        <w:t>.</w:t>
      </w:r>
    </w:p>
    <w:p w14:paraId="02200800" w14:textId="77777777" w:rsidR="005E71A9" w:rsidRPr="005E71A9" w:rsidRDefault="005E71A9" w:rsidP="005E71A9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>77.21-7-00 - Aluguel de equipamentos recreativos e esportivos</w:t>
      </w:r>
    </w:p>
    <w:p w14:paraId="1D53A65F" w14:textId="4617CBFD" w:rsidR="005E71A9" w:rsidRPr="005E71A9" w:rsidRDefault="005E71A9" w:rsidP="005E71A9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>77.29-2-01 - Aluguel de aparelhos de jogos eletrônicos</w:t>
      </w:r>
    </w:p>
    <w:p w14:paraId="2463F56E" w14:textId="3144D348" w:rsidR="00E40AD7" w:rsidRPr="005E71A9" w:rsidRDefault="0083187F" w:rsidP="00AD7635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 xml:space="preserve">Neste sentido, segue indicação de potenciais fornecedores/prestadores de serviços: </w:t>
      </w:r>
    </w:p>
    <w:p w14:paraId="386A3D0F" w14:textId="32E96983" w:rsidR="00AD7635" w:rsidRPr="005E71A9" w:rsidRDefault="005E71A9" w:rsidP="00BB22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5E71A9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JESSICA MARIA DA SILVA FENGLER – Campinas das Missões-RS</w:t>
      </w:r>
    </w:p>
    <w:p w14:paraId="3F81A467" w14:textId="7E2B2E54" w:rsidR="005E71A9" w:rsidRPr="005E71A9" w:rsidRDefault="005E71A9" w:rsidP="00BB22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5E71A9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ADELAR ANTONIO SPOHR – Salvador das Missões-RS</w:t>
      </w:r>
    </w:p>
    <w:p w14:paraId="599D4D3E" w14:textId="5EA9308E" w:rsidR="005E71A9" w:rsidRPr="005E71A9" w:rsidRDefault="005E71A9" w:rsidP="00BB22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5E71A9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MARISTELA CAMARGO SAPPER – Porto Xavier-RS</w:t>
      </w:r>
    </w:p>
    <w:p w14:paraId="1BB88FC7" w14:textId="36F1E26A" w:rsidR="005E71A9" w:rsidRPr="005E71A9" w:rsidRDefault="005E71A9" w:rsidP="00BB22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5E71A9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SHOWKIDS – Giruá-RS</w:t>
      </w:r>
    </w:p>
    <w:p w14:paraId="2892CD3A" w14:textId="5FDA7971" w:rsidR="005E71A9" w:rsidRPr="005E71A9" w:rsidRDefault="005E71A9" w:rsidP="00BB22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5E71A9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LUCIANO GOTTENS</w:t>
      </w:r>
    </w:p>
    <w:p w14:paraId="0BF31270" w14:textId="6F7903C8" w:rsidR="00A10C77" w:rsidRPr="00BC2D2A" w:rsidRDefault="005E71A9" w:rsidP="00BB22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5E71A9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OBA OBA – Santa Rosa-RS</w:t>
      </w:r>
    </w:p>
    <w:p w14:paraId="19CD0580" w14:textId="258DE489" w:rsidR="00A10C77" w:rsidRPr="005E71A9" w:rsidRDefault="00A10C77" w:rsidP="00BC2D2A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>Tais referências foram obtidas por meio de pesquisa</w:t>
      </w:r>
      <w:r w:rsidR="002504F1" w:rsidRPr="005E71A9">
        <w:rPr>
          <w:rFonts w:ascii="Times New Roman" w:hAnsi="Times New Roman" w:cs="Times New Roman"/>
          <w:sz w:val="21"/>
          <w:szCs w:val="21"/>
        </w:rPr>
        <w:t xml:space="preserve"> efetuadas com base no Decreto Municipal n.º </w:t>
      </w:r>
      <w:r w:rsidR="00375ABF" w:rsidRPr="005E71A9">
        <w:rPr>
          <w:rFonts w:ascii="Times New Roman" w:hAnsi="Times New Roman" w:cs="Times New Roman"/>
          <w:sz w:val="21"/>
          <w:szCs w:val="21"/>
        </w:rPr>
        <w:t>3.715 de 14 de dezembro de 2023</w:t>
      </w:r>
      <w:r w:rsidR="002504F1" w:rsidRPr="005E71A9">
        <w:rPr>
          <w:rFonts w:ascii="Times New Roman" w:hAnsi="Times New Roman" w:cs="Times New Roman"/>
          <w:sz w:val="21"/>
          <w:szCs w:val="21"/>
        </w:rPr>
        <w:t>, que “</w:t>
      </w:r>
      <w:r w:rsidR="00375ABF" w:rsidRPr="005E71A9">
        <w:rPr>
          <w:rFonts w:ascii="Times New Roman" w:hAnsi="Times New Roman" w:cs="Times New Roman"/>
          <w:sz w:val="21"/>
          <w:szCs w:val="21"/>
        </w:rPr>
        <w:t>Institui normas para o procedimento administrativo para a realização de pesquisa de preço para aquisição de bens e contratação de serviços em geral”</w:t>
      </w:r>
      <w:r w:rsidR="002504F1" w:rsidRPr="005E71A9">
        <w:rPr>
          <w:rFonts w:ascii="Times New Roman" w:hAnsi="Times New Roman" w:cs="Times New Roman"/>
          <w:sz w:val="21"/>
          <w:szCs w:val="21"/>
        </w:rPr>
        <w:t>, nos termos da Lei Federal nº 14.133/2021”.</w:t>
      </w:r>
    </w:p>
    <w:p w14:paraId="270897A1" w14:textId="216D95F7" w:rsidR="00D31BAD" w:rsidRPr="005E71A9" w:rsidRDefault="00D31BAD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41EECBE" w14:textId="15D3908C" w:rsidR="00E40AD7" w:rsidRPr="005E71A9" w:rsidRDefault="00375ABF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E71A9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E40AD7" w:rsidRPr="005E71A9">
        <w:rPr>
          <w:rFonts w:ascii="Times New Roman" w:hAnsi="Times New Roman" w:cs="Times New Roman"/>
          <w:b/>
          <w:bCs/>
          <w:sz w:val="21"/>
          <w:szCs w:val="21"/>
        </w:rPr>
        <w:t>. ESTIMATIVA DO VALOR DA CONTRATAÇÃO</w:t>
      </w:r>
    </w:p>
    <w:p w14:paraId="18E95943" w14:textId="49D0EF4C" w:rsidR="00A10C77" w:rsidRPr="005E71A9" w:rsidRDefault="00A10C77" w:rsidP="00BC2D2A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>Estima-se para a contratação almejada o valor total de R$</w:t>
      </w:r>
      <w:r w:rsidR="002504F1" w:rsidRPr="005E71A9">
        <w:rPr>
          <w:rFonts w:ascii="Times New Roman" w:hAnsi="Times New Roman" w:cs="Times New Roman"/>
          <w:sz w:val="21"/>
          <w:szCs w:val="21"/>
        </w:rPr>
        <w:t xml:space="preserve"> </w:t>
      </w:r>
      <w:r w:rsidR="005E71A9">
        <w:rPr>
          <w:rFonts w:ascii="Times New Roman" w:hAnsi="Times New Roman" w:cs="Times New Roman"/>
          <w:sz w:val="21"/>
          <w:szCs w:val="21"/>
        </w:rPr>
        <w:t>100.000,00</w:t>
      </w:r>
      <w:r w:rsidRPr="005E71A9">
        <w:rPr>
          <w:rFonts w:ascii="Times New Roman" w:hAnsi="Times New Roman" w:cs="Times New Roman"/>
          <w:sz w:val="21"/>
          <w:szCs w:val="21"/>
        </w:rPr>
        <w:t>.</w:t>
      </w:r>
    </w:p>
    <w:p w14:paraId="28EB87DD" w14:textId="3BB6C74E" w:rsidR="00886A7A" w:rsidRPr="005E71A9" w:rsidRDefault="00A10C77" w:rsidP="00BC2D2A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>Vislumbra-se que tal valor é compatível com o praticado pelo mercado correspondente</w:t>
      </w:r>
      <w:r w:rsidR="00886A7A" w:rsidRPr="005E71A9">
        <w:rPr>
          <w:rFonts w:ascii="Times New Roman" w:hAnsi="Times New Roman" w:cs="Times New Roman"/>
          <w:sz w:val="21"/>
          <w:szCs w:val="21"/>
        </w:rPr>
        <w:t>, observando-se o disposto no</w:t>
      </w:r>
      <w:r w:rsidR="0070045A" w:rsidRPr="005E71A9">
        <w:rPr>
          <w:rFonts w:ascii="Times New Roman" w:hAnsi="Times New Roman" w:cs="Times New Roman"/>
          <w:sz w:val="21"/>
          <w:szCs w:val="21"/>
        </w:rPr>
        <w:t xml:space="preserve"> Decreto Municipal n.º </w:t>
      </w:r>
      <w:r w:rsidR="00375ABF" w:rsidRPr="005E71A9">
        <w:rPr>
          <w:rFonts w:ascii="Times New Roman" w:hAnsi="Times New Roman" w:cs="Times New Roman"/>
          <w:sz w:val="21"/>
          <w:szCs w:val="21"/>
        </w:rPr>
        <w:t>3.715 de 14 de dezembro de 2023, que “Institui normas para o procedimento administrativo para a realização de pesquisa de preço para aquisição de bens e contratação de serviços em geral</w:t>
      </w:r>
      <w:r w:rsidR="0070045A" w:rsidRPr="005E71A9">
        <w:rPr>
          <w:rFonts w:ascii="Times New Roman" w:hAnsi="Times New Roman" w:cs="Times New Roman"/>
          <w:sz w:val="21"/>
          <w:szCs w:val="21"/>
        </w:rPr>
        <w:t>, nos termos da Lei Federal nº 14.133/2021”.</w:t>
      </w:r>
    </w:p>
    <w:p w14:paraId="021E96D7" w14:textId="77777777" w:rsidR="00581217" w:rsidRPr="005E71A9" w:rsidRDefault="00581217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A8D6994" w14:textId="3D7FBB5E" w:rsidR="00581217" w:rsidRPr="005E71A9" w:rsidRDefault="00375ABF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E71A9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581217" w:rsidRPr="005E71A9">
        <w:rPr>
          <w:rFonts w:ascii="Times New Roman" w:hAnsi="Times New Roman" w:cs="Times New Roman"/>
          <w:b/>
          <w:bCs/>
          <w:sz w:val="21"/>
          <w:szCs w:val="21"/>
        </w:rPr>
        <w:t>. DESCRIÇÃO DA SOLUÇÃO COMO UM TODO</w:t>
      </w:r>
    </w:p>
    <w:p w14:paraId="3A8D5E1D" w14:textId="51550372" w:rsidR="00667C07" w:rsidRPr="005E71A9" w:rsidRDefault="00581217" w:rsidP="00BC2D2A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 xml:space="preserve">A solução proposta é a contratação de empresa especializada para </w:t>
      </w:r>
      <w:r w:rsidR="000915E9" w:rsidRPr="005E71A9">
        <w:rPr>
          <w:rFonts w:ascii="Times New Roman" w:hAnsi="Times New Roman" w:cs="Times New Roman"/>
          <w:sz w:val="21"/>
          <w:szCs w:val="21"/>
        </w:rPr>
        <w:t>a prestação</w:t>
      </w:r>
      <w:r w:rsidRPr="005E71A9">
        <w:rPr>
          <w:rFonts w:ascii="Times New Roman" w:hAnsi="Times New Roman" w:cs="Times New Roman"/>
          <w:sz w:val="21"/>
          <w:szCs w:val="21"/>
        </w:rPr>
        <w:t xml:space="preserve"> de serviços de </w:t>
      </w:r>
      <w:r w:rsidR="00BC2D2A">
        <w:rPr>
          <w:rFonts w:ascii="Times New Roman" w:hAnsi="Times New Roman" w:cs="Times New Roman"/>
          <w:sz w:val="21"/>
          <w:szCs w:val="21"/>
        </w:rPr>
        <w:t>aluguel de brinquedos</w:t>
      </w:r>
      <w:r w:rsidRPr="005E71A9">
        <w:rPr>
          <w:rFonts w:ascii="Times New Roman" w:hAnsi="Times New Roman" w:cs="Times New Roman"/>
          <w:sz w:val="21"/>
          <w:szCs w:val="21"/>
        </w:rPr>
        <w:t>, conforme as seguintes condições:</w:t>
      </w:r>
      <w:r w:rsidR="0070045A" w:rsidRPr="005E71A9">
        <w:rPr>
          <w:rFonts w:ascii="Times New Roman" w:hAnsi="Times New Roman" w:cs="Times New Roman"/>
          <w:sz w:val="21"/>
          <w:szCs w:val="21"/>
        </w:rPr>
        <w:t xml:space="preserve"> </w:t>
      </w:r>
      <w:r w:rsidR="00BC2D2A">
        <w:rPr>
          <w:rFonts w:ascii="Times New Roman" w:hAnsi="Times New Roman" w:cs="Times New Roman"/>
          <w:sz w:val="21"/>
          <w:szCs w:val="21"/>
        </w:rPr>
        <w:t>Estipula-se que cada contratação tenha duração de 4 horas, com 4 brinquedos (a escolha da administração) incluindo monitores para acompanhamento das crianças, nos preços sugeridos já deverá estar incluso os valores do deslocamento até o município de Porto Xavier e os valores dos monitores.</w:t>
      </w:r>
    </w:p>
    <w:p w14:paraId="687C4237" w14:textId="020536EA" w:rsidR="004A5831" w:rsidRPr="005E71A9" w:rsidRDefault="004A5831" w:rsidP="00BB22CE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</w:p>
    <w:p w14:paraId="1D1856F2" w14:textId="0E21E958" w:rsidR="004A5831" w:rsidRPr="005E71A9" w:rsidRDefault="00375ABF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5E71A9">
        <w:rPr>
          <w:b/>
          <w:bCs/>
          <w:sz w:val="21"/>
          <w:szCs w:val="21"/>
        </w:rPr>
        <w:t>6</w:t>
      </w:r>
      <w:r w:rsidR="004A5831" w:rsidRPr="005E71A9">
        <w:rPr>
          <w:b/>
          <w:bCs/>
          <w:sz w:val="21"/>
          <w:szCs w:val="21"/>
        </w:rPr>
        <w:t xml:space="preserve">. RESULTADOS PRETENDIDOS </w:t>
      </w:r>
    </w:p>
    <w:p w14:paraId="30B7C107" w14:textId="6305160D" w:rsidR="00686EA3" w:rsidRPr="005E71A9" w:rsidRDefault="00686EA3" w:rsidP="00BC2D2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t xml:space="preserve">Pretende-se, com o presente processo licitatório, assegurar </w:t>
      </w:r>
      <w:r w:rsidRPr="005E71A9">
        <w:rPr>
          <w:rFonts w:ascii="Times New Roman" w:hAnsi="Times New Roman" w:cs="Times New Roman"/>
          <w:color w:val="000000"/>
          <w:sz w:val="21"/>
          <w:szCs w:val="21"/>
        </w:rPr>
        <w:t xml:space="preserve">a seleção da proposta apta a gerar </w:t>
      </w:r>
      <w:r w:rsidR="00744451" w:rsidRPr="005E71A9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Pr="005E71A9">
        <w:rPr>
          <w:rFonts w:ascii="Times New Roman" w:hAnsi="Times New Roman" w:cs="Times New Roman"/>
          <w:color w:val="000000"/>
          <w:sz w:val="21"/>
          <w:szCs w:val="21"/>
        </w:rPr>
        <w:t xml:space="preserve"> contratação mais vantajosa para </w:t>
      </w:r>
      <w:r w:rsidR="00832920" w:rsidRPr="005E71A9">
        <w:rPr>
          <w:rFonts w:ascii="Times New Roman" w:hAnsi="Times New Roman" w:cs="Times New Roman"/>
          <w:color w:val="000000"/>
          <w:sz w:val="21"/>
          <w:szCs w:val="21"/>
        </w:rPr>
        <w:t>o Município</w:t>
      </w:r>
      <w:r w:rsidRPr="005E71A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C302DCF" w14:textId="552BEA41" w:rsidR="0074088D" w:rsidRPr="005E71A9" w:rsidRDefault="00686EA3" w:rsidP="00BC2D2A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color w:val="000000"/>
          <w:sz w:val="21"/>
          <w:szCs w:val="21"/>
        </w:rPr>
        <w:t>Almeja-se, igualmente, assegurar tratamento isonômico entre os licitantes, bem como a justa competição, bem como evitar contratação com sobrepreço ou com preço manifestamente inexequível e superfaturamento na execução do contrato.</w:t>
      </w:r>
    </w:p>
    <w:p w14:paraId="74B443E7" w14:textId="30C7CB84" w:rsidR="00E55CB8" w:rsidRPr="005E71A9" w:rsidRDefault="004A5831" w:rsidP="00BC2D2A">
      <w:pPr>
        <w:spacing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E71A9">
        <w:rPr>
          <w:rFonts w:ascii="Times New Roman" w:hAnsi="Times New Roman" w:cs="Times New Roman"/>
          <w:sz w:val="21"/>
          <w:szCs w:val="21"/>
        </w:rPr>
        <w:lastRenderedPageBreak/>
        <w:t>A contratação</w:t>
      </w:r>
      <w:r w:rsidR="00686EA3" w:rsidRPr="005E71A9">
        <w:rPr>
          <w:rFonts w:ascii="Times New Roman" w:hAnsi="Times New Roman" w:cs="Times New Roman"/>
          <w:sz w:val="21"/>
          <w:szCs w:val="21"/>
        </w:rPr>
        <w:t xml:space="preserve"> decorrente do presente processo licitatório</w:t>
      </w:r>
      <w:r w:rsidRPr="005E71A9">
        <w:rPr>
          <w:rFonts w:ascii="Times New Roman" w:hAnsi="Times New Roman" w:cs="Times New Roman"/>
          <w:sz w:val="21"/>
          <w:szCs w:val="21"/>
        </w:rPr>
        <w:t xml:space="preserve"> exigirá da contratada o cumprimento das boas práticas de sustentabilidade, contribuindo para a racionalização e otimização do uso dos recursos, bem como para a redução dos impactos ambientais. </w:t>
      </w:r>
    </w:p>
    <w:p w14:paraId="3CF1C4B4" w14:textId="77777777" w:rsidR="00E55CB8" w:rsidRPr="005E71A9" w:rsidRDefault="00E55CB8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690B0C0" w14:textId="16E2AC1D" w:rsidR="00F62C01" w:rsidRPr="005E71A9" w:rsidRDefault="00375ABF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1"/>
          <w:szCs w:val="21"/>
        </w:rPr>
      </w:pPr>
      <w:bookmarkStart w:id="2" w:name="art18§1ii"/>
      <w:bookmarkStart w:id="3" w:name="art18§1iii"/>
      <w:bookmarkStart w:id="4" w:name="art18§1v"/>
      <w:bookmarkStart w:id="5" w:name="art18§1vi"/>
      <w:bookmarkStart w:id="6" w:name="art18§1vii"/>
      <w:bookmarkStart w:id="7" w:name="art18§1viii"/>
      <w:bookmarkStart w:id="8" w:name="art18§1ix"/>
      <w:bookmarkStart w:id="9" w:name="art18§1x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5E71A9">
        <w:rPr>
          <w:b/>
          <w:bCs/>
          <w:color w:val="000000"/>
          <w:sz w:val="21"/>
          <w:szCs w:val="21"/>
        </w:rPr>
        <w:t>7</w:t>
      </w:r>
      <w:r w:rsidR="00C4112F" w:rsidRPr="005E71A9">
        <w:rPr>
          <w:b/>
          <w:bCs/>
          <w:color w:val="000000"/>
          <w:sz w:val="21"/>
          <w:szCs w:val="21"/>
        </w:rPr>
        <w:t xml:space="preserve">. </w:t>
      </w:r>
      <w:r w:rsidR="0020551E" w:rsidRPr="005E71A9">
        <w:rPr>
          <w:b/>
          <w:bCs/>
          <w:color w:val="000000"/>
          <w:sz w:val="21"/>
          <w:szCs w:val="21"/>
        </w:rPr>
        <w:t>PROVIDÊNCIAS PRÉVIAS AO CONTRATO</w:t>
      </w:r>
    </w:p>
    <w:p w14:paraId="265B815B" w14:textId="373A3065" w:rsidR="00F50A45" w:rsidRPr="005E71A9" w:rsidRDefault="00F50A45" w:rsidP="00BC2D2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1"/>
          <w:szCs w:val="21"/>
        </w:rPr>
      </w:pPr>
      <w:bookmarkStart w:id="10" w:name="art18§1xi"/>
      <w:bookmarkEnd w:id="10"/>
      <w:r w:rsidRPr="005E71A9">
        <w:rPr>
          <w:color w:val="000000"/>
          <w:sz w:val="21"/>
          <w:szCs w:val="21"/>
        </w:rPr>
        <w:t>Para a contratação pretendida não haverá necessidade de providências prévias</w:t>
      </w:r>
      <w:r w:rsidR="00E60B44" w:rsidRPr="005E71A9">
        <w:rPr>
          <w:color w:val="000000"/>
          <w:sz w:val="21"/>
          <w:szCs w:val="21"/>
        </w:rPr>
        <w:t xml:space="preserve"> no âmbito da Administração</w:t>
      </w:r>
      <w:r w:rsidR="00BC2D2A">
        <w:rPr>
          <w:color w:val="000000"/>
          <w:sz w:val="21"/>
          <w:szCs w:val="21"/>
        </w:rPr>
        <w:t>.</w:t>
      </w:r>
    </w:p>
    <w:p w14:paraId="05BD1670" w14:textId="32A3173F" w:rsidR="00774485" w:rsidRPr="005E71A9" w:rsidRDefault="00BC2D2A" w:rsidP="00BC2D2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Cada secretaria ficará responsável por indicar </w:t>
      </w:r>
      <w:r w:rsidR="00F50A45" w:rsidRPr="005E71A9">
        <w:rPr>
          <w:color w:val="000000"/>
          <w:sz w:val="21"/>
          <w:szCs w:val="21"/>
        </w:rPr>
        <w:t>servidores para atuarem como gestor e fiscal do contrato.</w:t>
      </w:r>
    </w:p>
    <w:p w14:paraId="55729C07" w14:textId="77777777" w:rsidR="0020551E" w:rsidRPr="005E71A9" w:rsidRDefault="0020551E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1"/>
          <w:szCs w:val="21"/>
        </w:rPr>
      </w:pPr>
    </w:p>
    <w:p w14:paraId="37D98BB2" w14:textId="452503C6" w:rsidR="00F62C01" w:rsidRPr="005E71A9" w:rsidRDefault="00375ABF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1"/>
          <w:szCs w:val="21"/>
        </w:rPr>
      </w:pPr>
      <w:r w:rsidRPr="005E71A9">
        <w:rPr>
          <w:b/>
          <w:bCs/>
          <w:color w:val="000000"/>
          <w:sz w:val="21"/>
          <w:szCs w:val="21"/>
        </w:rPr>
        <w:t>8</w:t>
      </w:r>
      <w:r w:rsidR="00F10A7D" w:rsidRPr="005E71A9">
        <w:rPr>
          <w:b/>
          <w:bCs/>
          <w:color w:val="000000"/>
          <w:sz w:val="21"/>
          <w:szCs w:val="21"/>
        </w:rPr>
        <w:t>. CONTRATAÇÕES CORRELATAS E/OU INTERDEPENDENTES</w:t>
      </w:r>
    </w:p>
    <w:p w14:paraId="27747AED" w14:textId="28B55DBB" w:rsidR="00F10A7D" w:rsidRPr="005E71A9" w:rsidRDefault="00F10A7D" w:rsidP="00BC2D2A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1"/>
          <w:szCs w:val="21"/>
        </w:rPr>
      </w:pPr>
      <w:r w:rsidRPr="005E71A9">
        <w:rPr>
          <w:sz w:val="21"/>
          <w:szCs w:val="21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14:paraId="1966BB28" w14:textId="24901FF0" w:rsidR="00592EA8" w:rsidRPr="005E71A9" w:rsidRDefault="00F10A7D" w:rsidP="00BC2D2A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1"/>
          <w:szCs w:val="21"/>
        </w:rPr>
      </w:pPr>
      <w:r w:rsidRPr="005E71A9">
        <w:rPr>
          <w:sz w:val="21"/>
          <w:szCs w:val="21"/>
        </w:rPr>
        <w:t>Os</w:t>
      </w:r>
      <w:r w:rsidR="00BC2D2A">
        <w:rPr>
          <w:sz w:val="21"/>
          <w:szCs w:val="21"/>
        </w:rPr>
        <w:t xml:space="preserve"> </w:t>
      </w:r>
      <w:r w:rsidRPr="005E71A9">
        <w:rPr>
          <w:sz w:val="21"/>
          <w:szCs w:val="21"/>
        </w:rPr>
        <w:t>serviços que se pretende, portanto, são autônomos e prescindem de contratações correlatas ou interdependentes</w:t>
      </w:r>
      <w:r w:rsidR="00BC2D2A">
        <w:rPr>
          <w:sz w:val="21"/>
          <w:szCs w:val="21"/>
        </w:rPr>
        <w:t>.</w:t>
      </w:r>
    </w:p>
    <w:p w14:paraId="5BC30AB6" w14:textId="77777777" w:rsidR="00590B3B" w:rsidRPr="005E71A9" w:rsidRDefault="00590B3B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bookmarkStart w:id="11" w:name="art18§1xii"/>
      <w:bookmarkEnd w:id="11"/>
    </w:p>
    <w:p w14:paraId="7D04431D" w14:textId="152F11F7" w:rsidR="00F62C01" w:rsidRPr="005E71A9" w:rsidRDefault="00BC2D2A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1"/>
          <w:szCs w:val="21"/>
        </w:rPr>
      </w:pPr>
      <w:bookmarkStart w:id="12" w:name="art18§1xiii"/>
      <w:bookmarkEnd w:id="12"/>
      <w:r>
        <w:rPr>
          <w:b/>
          <w:bCs/>
          <w:color w:val="000000"/>
          <w:sz w:val="21"/>
          <w:szCs w:val="21"/>
        </w:rPr>
        <w:t>9</w:t>
      </w:r>
      <w:r w:rsidR="00590B3B" w:rsidRPr="005E71A9">
        <w:rPr>
          <w:b/>
          <w:bCs/>
          <w:color w:val="000000"/>
          <w:sz w:val="21"/>
          <w:szCs w:val="21"/>
        </w:rPr>
        <w:t xml:space="preserve">. DECLARAÇÃO DE VIABILIDADE </w:t>
      </w:r>
    </w:p>
    <w:p w14:paraId="28A19EE5" w14:textId="64688F6D" w:rsidR="00590B3B" w:rsidRPr="005E71A9" w:rsidRDefault="00590B3B" w:rsidP="00BC2D2A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  <w:sz w:val="21"/>
          <w:szCs w:val="21"/>
        </w:rPr>
      </w:pPr>
      <w:r w:rsidRPr="005E71A9">
        <w:rPr>
          <w:sz w:val="21"/>
          <w:szCs w:val="21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33CE3556" w14:textId="70F90EBC" w:rsidR="00B96D5C" w:rsidRPr="005E71A9" w:rsidRDefault="00B96D5C" w:rsidP="00BB22CE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DB726EE" w14:textId="165D29D7" w:rsidR="0047583C" w:rsidRPr="005E71A9" w:rsidRDefault="0047583C" w:rsidP="00BB22CE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F1AEB7C" w14:textId="77777777" w:rsidR="0047583C" w:rsidRPr="005E71A9" w:rsidRDefault="0047583C" w:rsidP="00BB22CE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E55E4CF" w14:textId="63F9E427" w:rsidR="00AF43CC" w:rsidRPr="005E71A9" w:rsidRDefault="000915E9" w:rsidP="000915E9">
      <w:pPr>
        <w:spacing w:line="360" w:lineRule="auto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Xavier, 10 de janeiro de 2023.</w:t>
      </w:r>
    </w:p>
    <w:p w14:paraId="38B711E3" w14:textId="77777777" w:rsidR="00C41DBE" w:rsidRPr="005E71A9" w:rsidRDefault="00C41DBE" w:rsidP="00C41DB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613D53" w14:textId="04B29BF7" w:rsidR="00AF43CC" w:rsidRPr="005E71A9" w:rsidRDefault="00AF43CC" w:rsidP="00BB22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AF43CC" w:rsidRPr="005E71A9" w:rsidSect="00A7152C">
      <w:footerReference w:type="default" r:id="rId8"/>
      <w:pgSz w:w="11906" w:h="16838"/>
      <w:pgMar w:top="1418" w:right="1134" w:bottom="1134" w:left="1276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B5E41" w14:textId="77777777" w:rsidR="0061467C" w:rsidRDefault="0061467C">
      <w:r>
        <w:separator/>
      </w:r>
    </w:p>
  </w:endnote>
  <w:endnote w:type="continuationSeparator" w:id="0">
    <w:p w14:paraId="4138FEF4" w14:textId="77777777" w:rsidR="0061467C" w:rsidRDefault="0061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052721"/>
      <w:docPartObj>
        <w:docPartGallery w:val="Page Numbers (Bottom of Page)"/>
        <w:docPartUnique/>
      </w:docPartObj>
    </w:sdtPr>
    <w:sdtEndPr/>
    <w:sdtContent>
      <w:p w14:paraId="17B1D5B3" w14:textId="4632F466" w:rsidR="009927AC" w:rsidRDefault="009927AC" w:rsidP="00A715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788">
          <w:rPr>
            <w:noProof/>
          </w:rPr>
          <w:t>2</w:t>
        </w:r>
        <w:r>
          <w:fldChar w:fldCharType="end"/>
        </w:r>
      </w:p>
    </w:sdtContent>
  </w:sdt>
  <w:p w14:paraId="543CF7EE" w14:textId="77777777" w:rsidR="00181FE2" w:rsidRPr="00502E0D" w:rsidRDefault="00181FE2" w:rsidP="00502E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6E1D5" w14:textId="77777777" w:rsidR="0061467C" w:rsidRDefault="0061467C">
      <w:r>
        <w:separator/>
      </w:r>
    </w:p>
  </w:footnote>
  <w:footnote w:type="continuationSeparator" w:id="0">
    <w:p w14:paraId="22BE0C95" w14:textId="77777777" w:rsidR="0061467C" w:rsidRDefault="0061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C002A"/>
    <w:multiLevelType w:val="hybridMultilevel"/>
    <w:tmpl w:val="1696C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0D"/>
    <w:rsid w:val="0002783F"/>
    <w:rsid w:val="00034C98"/>
    <w:rsid w:val="00053E01"/>
    <w:rsid w:val="00054D2D"/>
    <w:rsid w:val="00071ED4"/>
    <w:rsid w:val="00076E4E"/>
    <w:rsid w:val="000915E9"/>
    <w:rsid w:val="00092A81"/>
    <w:rsid w:val="000A79CF"/>
    <w:rsid w:val="000E417E"/>
    <w:rsid w:val="00112C7B"/>
    <w:rsid w:val="00120E0C"/>
    <w:rsid w:val="00123E80"/>
    <w:rsid w:val="00135D0E"/>
    <w:rsid w:val="0016054F"/>
    <w:rsid w:val="001626B2"/>
    <w:rsid w:val="0017558C"/>
    <w:rsid w:val="0018150E"/>
    <w:rsid w:val="00181FE2"/>
    <w:rsid w:val="0019568D"/>
    <w:rsid w:val="001B124B"/>
    <w:rsid w:val="001C3A0F"/>
    <w:rsid w:val="001D16D4"/>
    <w:rsid w:val="001D4F88"/>
    <w:rsid w:val="00203C09"/>
    <w:rsid w:val="0020551E"/>
    <w:rsid w:val="00231F44"/>
    <w:rsid w:val="002345E1"/>
    <w:rsid w:val="0024029F"/>
    <w:rsid w:val="00241818"/>
    <w:rsid w:val="0024323B"/>
    <w:rsid w:val="00247EDE"/>
    <w:rsid w:val="002504F1"/>
    <w:rsid w:val="00257E37"/>
    <w:rsid w:val="002664D0"/>
    <w:rsid w:val="00282F97"/>
    <w:rsid w:val="0028692C"/>
    <w:rsid w:val="00295356"/>
    <w:rsid w:val="002B1997"/>
    <w:rsid w:val="002B3B55"/>
    <w:rsid w:val="002D163D"/>
    <w:rsid w:val="002F26B5"/>
    <w:rsid w:val="00304421"/>
    <w:rsid w:val="00322D62"/>
    <w:rsid w:val="003323D2"/>
    <w:rsid w:val="0033619B"/>
    <w:rsid w:val="00357F2C"/>
    <w:rsid w:val="00360953"/>
    <w:rsid w:val="00375ABF"/>
    <w:rsid w:val="0037799F"/>
    <w:rsid w:val="00387AA6"/>
    <w:rsid w:val="003A159C"/>
    <w:rsid w:val="003B677C"/>
    <w:rsid w:val="003D4B43"/>
    <w:rsid w:val="00401BA4"/>
    <w:rsid w:val="00401C3A"/>
    <w:rsid w:val="00410ADF"/>
    <w:rsid w:val="004417A7"/>
    <w:rsid w:val="004469DB"/>
    <w:rsid w:val="004511A1"/>
    <w:rsid w:val="00452171"/>
    <w:rsid w:val="0046538C"/>
    <w:rsid w:val="0047583C"/>
    <w:rsid w:val="0049267E"/>
    <w:rsid w:val="004A0242"/>
    <w:rsid w:val="004A4B5F"/>
    <w:rsid w:val="004A57E1"/>
    <w:rsid w:val="004A5831"/>
    <w:rsid w:val="004B37C4"/>
    <w:rsid w:val="004C072E"/>
    <w:rsid w:val="004D14A5"/>
    <w:rsid w:val="004D675A"/>
    <w:rsid w:val="004D72FC"/>
    <w:rsid w:val="00502E0D"/>
    <w:rsid w:val="00520F9B"/>
    <w:rsid w:val="005337F0"/>
    <w:rsid w:val="00533B87"/>
    <w:rsid w:val="00535E75"/>
    <w:rsid w:val="005643B5"/>
    <w:rsid w:val="00581217"/>
    <w:rsid w:val="00590B3B"/>
    <w:rsid w:val="00592EA8"/>
    <w:rsid w:val="005A1890"/>
    <w:rsid w:val="005A2613"/>
    <w:rsid w:val="005B1006"/>
    <w:rsid w:val="005D0A15"/>
    <w:rsid w:val="005D1434"/>
    <w:rsid w:val="005E4757"/>
    <w:rsid w:val="005E71A9"/>
    <w:rsid w:val="005F4B9E"/>
    <w:rsid w:val="00607804"/>
    <w:rsid w:val="0061467C"/>
    <w:rsid w:val="006212C8"/>
    <w:rsid w:val="00627A6A"/>
    <w:rsid w:val="00635162"/>
    <w:rsid w:val="00645DCB"/>
    <w:rsid w:val="006632EC"/>
    <w:rsid w:val="00667C07"/>
    <w:rsid w:val="00686EA3"/>
    <w:rsid w:val="006C3941"/>
    <w:rsid w:val="006D7DB5"/>
    <w:rsid w:val="006E29C6"/>
    <w:rsid w:val="006F13FA"/>
    <w:rsid w:val="006F7A58"/>
    <w:rsid w:val="006F7BD3"/>
    <w:rsid w:val="0070045A"/>
    <w:rsid w:val="00712342"/>
    <w:rsid w:val="00720D03"/>
    <w:rsid w:val="00720FDF"/>
    <w:rsid w:val="00726AAE"/>
    <w:rsid w:val="00736BB3"/>
    <w:rsid w:val="0074088D"/>
    <w:rsid w:val="00744451"/>
    <w:rsid w:val="00757551"/>
    <w:rsid w:val="00770CB0"/>
    <w:rsid w:val="00774485"/>
    <w:rsid w:val="007A019D"/>
    <w:rsid w:val="007A5E07"/>
    <w:rsid w:val="007C0E10"/>
    <w:rsid w:val="007D1EC9"/>
    <w:rsid w:val="007D3A9D"/>
    <w:rsid w:val="007E3126"/>
    <w:rsid w:val="007E7737"/>
    <w:rsid w:val="00813C3A"/>
    <w:rsid w:val="0081748B"/>
    <w:rsid w:val="00825E47"/>
    <w:rsid w:val="0083187F"/>
    <w:rsid w:val="00832920"/>
    <w:rsid w:val="00833D8E"/>
    <w:rsid w:val="00855A5B"/>
    <w:rsid w:val="008709B2"/>
    <w:rsid w:val="00881C74"/>
    <w:rsid w:val="0088253E"/>
    <w:rsid w:val="00886A7A"/>
    <w:rsid w:val="0089125B"/>
    <w:rsid w:val="00896676"/>
    <w:rsid w:val="0089786B"/>
    <w:rsid w:val="008D3A67"/>
    <w:rsid w:val="008F3C7B"/>
    <w:rsid w:val="008F4385"/>
    <w:rsid w:val="00901B56"/>
    <w:rsid w:val="009057D3"/>
    <w:rsid w:val="00917447"/>
    <w:rsid w:val="00933A18"/>
    <w:rsid w:val="00934C46"/>
    <w:rsid w:val="00946011"/>
    <w:rsid w:val="009538DB"/>
    <w:rsid w:val="009600DD"/>
    <w:rsid w:val="0096624A"/>
    <w:rsid w:val="009721AC"/>
    <w:rsid w:val="009927AC"/>
    <w:rsid w:val="009966BE"/>
    <w:rsid w:val="009C3170"/>
    <w:rsid w:val="009C5BC6"/>
    <w:rsid w:val="009D0FC5"/>
    <w:rsid w:val="009D1080"/>
    <w:rsid w:val="009D48B5"/>
    <w:rsid w:val="009F5767"/>
    <w:rsid w:val="00A04BBC"/>
    <w:rsid w:val="00A10C77"/>
    <w:rsid w:val="00A14341"/>
    <w:rsid w:val="00A17AB4"/>
    <w:rsid w:val="00A21CB3"/>
    <w:rsid w:val="00A41F1E"/>
    <w:rsid w:val="00A7152C"/>
    <w:rsid w:val="00A82DB3"/>
    <w:rsid w:val="00A94C95"/>
    <w:rsid w:val="00A96191"/>
    <w:rsid w:val="00AA1058"/>
    <w:rsid w:val="00AA7C51"/>
    <w:rsid w:val="00AC4E37"/>
    <w:rsid w:val="00AC69E9"/>
    <w:rsid w:val="00AC6DE8"/>
    <w:rsid w:val="00AD7635"/>
    <w:rsid w:val="00AE66AB"/>
    <w:rsid w:val="00AF10A7"/>
    <w:rsid w:val="00AF43CC"/>
    <w:rsid w:val="00B04BBE"/>
    <w:rsid w:val="00B1151E"/>
    <w:rsid w:val="00B133A8"/>
    <w:rsid w:val="00B158A8"/>
    <w:rsid w:val="00B33E44"/>
    <w:rsid w:val="00B41026"/>
    <w:rsid w:val="00B44F41"/>
    <w:rsid w:val="00B82CB8"/>
    <w:rsid w:val="00B96321"/>
    <w:rsid w:val="00B96D5C"/>
    <w:rsid w:val="00BA7EC0"/>
    <w:rsid w:val="00BB1338"/>
    <w:rsid w:val="00BB22CE"/>
    <w:rsid w:val="00BB3CEC"/>
    <w:rsid w:val="00BC2D2A"/>
    <w:rsid w:val="00BC6F52"/>
    <w:rsid w:val="00BF288C"/>
    <w:rsid w:val="00C117BA"/>
    <w:rsid w:val="00C13492"/>
    <w:rsid w:val="00C1565E"/>
    <w:rsid w:val="00C17098"/>
    <w:rsid w:val="00C238D7"/>
    <w:rsid w:val="00C31B32"/>
    <w:rsid w:val="00C37365"/>
    <w:rsid w:val="00C4070D"/>
    <w:rsid w:val="00C4112F"/>
    <w:rsid w:val="00C41DBE"/>
    <w:rsid w:val="00C64969"/>
    <w:rsid w:val="00C742D1"/>
    <w:rsid w:val="00C829DF"/>
    <w:rsid w:val="00C90F73"/>
    <w:rsid w:val="00C949F0"/>
    <w:rsid w:val="00C94E71"/>
    <w:rsid w:val="00CA1144"/>
    <w:rsid w:val="00CC16CF"/>
    <w:rsid w:val="00CC37BB"/>
    <w:rsid w:val="00CC6C90"/>
    <w:rsid w:val="00CD02AD"/>
    <w:rsid w:val="00CD1323"/>
    <w:rsid w:val="00CD642D"/>
    <w:rsid w:val="00CD7855"/>
    <w:rsid w:val="00CE2C30"/>
    <w:rsid w:val="00D008B8"/>
    <w:rsid w:val="00D16074"/>
    <w:rsid w:val="00D31BAD"/>
    <w:rsid w:val="00D452AD"/>
    <w:rsid w:val="00D50ACD"/>
    <w:rsid w:val="00D616B6"/>
    <w:rsid w:val="00D66959"/>
    <w:rsid w:val="00D7410F"/>
    <w:rsid w:val="00D77493"/>
    <w:rsid w:val="00D81169"/>
    <w:rsid w:val="00D93ED8"/>
    <w:rsid w:val="00DA1885"/>
    <w:rsid w:val="00DA63B7"/>
    <w:rsid w:val="00DA7412"/>
    <w:rsid w:val="00DB7788"/>
    <w:rsid w:val="00DC018A"/>
    <w:rsid w:val="00DD01B8"/>
    <w:rsid w:val="00DE0B44"/>
    <w:rsid w:val="00DE34B5"/>
    <w:rsid w:val="00DE3DC8"/>
    <w:rsid w:val="00DF17E5"/>
    <w:rsid w:val="00DF7B37"/>
    <w:rsid w:val="00E07291"/>
    <w:rsid w:val="00E23A28"/>
    <w:rsid w:val="00E40AD7"/>
    <w:rsid w:val="00E55CB8"/>
    <w:rsid w:val="00E569FF"/>
    <w:rsid w:val="00E56A69"/>
    <w:rsid w:val="00E60B44"/>
    <w:rsid w:val="00E63DFF"/>
    <w:rsid w:val="00E74498"/>
    <w:rsid w:val="00E80693"/>
    <w:rsid w:val="00E8484A"/>
    <w:rsid w:val="00EA420E"/>
    <w:rsid w:val="00EA57E0"/>
    <w:rsid w:val="00EB0EA8"/>
    <w:rsid w:val="00EB3014"/>
    <w:rsid w:val="00EB5414"/>
    <w:rsid w:val="00EE774F"/>
    <w:rsid w:val="00EF2F3C"/>
    <w:rsid w:val="00EF3A01"/>
    <w:rsid w:val="00EF7DFF"/>
    <w:rsid w:val="00F05346"/>
    <w:rsid w:val="00F10A7D"/>
    <w:rsid w:val="00F17BB8"/>
    <w:rsid w:val="00F246DD"/>
    <w:rsid w:val="00F50A45"/>
    <w:rsid w:val="00F619A0"/>
    <w:rsid w:val="00F62B2E"/>
    <w:rsid w:val="00F62C01"/>
    <w:rsid w:val="00F74086"/>
    <w:rsid w:val="00F778AA"/>
    <w:rsid w:val="00F81D43"/>
    <w:rsid w:val="00FA3D17"/>
    <w:rsid w:val="00FA4B99"/>
    <w:rsid w:val="00FC0161"/>
    <w:rsid w:val="00FC2590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3003F4"/>
  <w15:chartTrackingRefBased/>
  <w15:docId w15:val="{6039E57E-E1AF-498A-BFB6-1F2A508B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12B6-C8C7-4926-B420-DD24304D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http://www1.tce.rs.gov.br/portal/page/portal/tcers/publicacoes/orientacoes_gestores/OT - Coleta de Res%EDduos S%F3lidos V4.pdf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Bello</dc:creator>
  <cp:keywords/>
  <dc:description/>
  <cp:lastModifiedBy>Lauro</cp:lastModifiedBy>
  <cp:revision>2</cp:revision>
  <cp:lastPrinted>2022-11-10T17:28:00Z</cp:lastPrinted>
  <dcterms:created xsi:type="dcterms:W3CDTF">2024-02-27T12:13:00Z</dcterms:created>
  <dcterms:modified xsi:type="dcterms:W3CDTF">2024-02-27T12:13:00Z</dcterms:modified>
</cp:coreProperties>
</file>