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ESTUDO TÉCNICO PRELIMINAR (ETP) E TERMO DE REFERÊNCIA (TR)</w:t>
      </w:r>
    </w:p>
    <w:p>
      <w:r>
        <w:t>Aquisição de Vidro Frontal e Guarnição para Escavadeira Hidráulica LG150</w:t>
      </w:r>
    </w:p>
    <w:p>
      <w:pPr>
        <w:pStyle w:val="Heading2"/>
      </w:pPr>
      <w:r>
        <w:t>ESTUDO TÉCNICO PRELIMINAR (ETP)</w:t>
      </w:r>
    </w:p>
    <w:p>
      <w:pPr>
        <w:pStyle w:val="Heading3"/>
      </w:pPr>
      <w:r>
        <w:t>1. Identificação da Necessidade</w:t>
      </w:r>
    </w:p>
    <w:p>
      <w:r>
        <w:t>A Secretaria Municipal de Obras identificou a necessidade de reposição do vidro frontal e da guarnição da escavadeira hidráulica modelo LG150, pertencente à frota do Município, após o equipamento sofrer um dano acidental durante execução de limpeza de açude em propriedade rural, quando um galho de árvore pressionou a cabine, provocando a quebra total do para-brisa.</w:t>
      </w:r>
    </w:p>
    <w:p>
      <w:pPr>
        <w:pStyle w:val="Heading3"/>
      </w:pPr>
      <w:r>
        <w:t>2. Motivação da Demanda</w:t>
      </w:r>
    </w:p>
    <w:p>
      <w:r>
        <w:t>A escavadeira LG150 é equipamento essencial para a execução de obras públicas, sendo amplamente utilizada nos seguintes serviços:</w:t>
        <w:br/>
        <w:t>- Limpeza e desassoreamento de açudes e banhados, em apoio à agricultura familiar;</w:t>
        <w:br/>
        <w:t>- Instalação e substituição de tubos de concreto em redes de drenagem pluvial e acessos rurais;</w:t>
        <w:br/>
        <w:t>- Abertura e manutenção de valas, canaletas e estradas vicinais;</w:t>
        <w:br/>
        <w:t>- Atendimento emergencial a enxurradas e deslizamentos.</w:t>
        <w:br/>
        <w:br/>
        <w:t>A inoperância do equipamento, por conta do dano ao para-brisa, compromete diretamente o atendimento às demandas da população e a continuidade de serviços essenciais.</w:t>
      </w:r>
    </w:p>
    <w:p>
      <w:pPr>
        <w:pStyle w:val="Heading3"/>
      </w:pPr>
      <w:r>
        <w:t>3. Descrição da Solução</w:t>
      </w:r>
    </w:p>
    <w:p>
      <w:r>
        <w:t>A solução técnica adequada é a aquisição e substituição do vidro frontal e da guarnição de vedação, ambos compatíveis com a escavadeira LG150.</w:t>
      </w:r>
    </w:p>
    <w:p>
      <w:pPr>
        <w:pStyle w:val="Heading3"/>
      </w:pPr>
      <w:r>
        <w:t>4. Análise de Alternativas</w:t>
      </w:r>
    </w:p>
    <w:p>
      <w:r>
        <w:t>- Uso de vidro adaptado ou genérico: arriscado e fora dos padrões de segurança.</w:t>
        <w:br/>
        <w:t>- Tentativa de reparo do vidro: inviável, dado que se trata de vidro laminado trincado.</w:t>
        <w:br/>
        <w:t>- Substituição da escavadeira: completamente descabida e antieconômica.</w:t>
      </w:r>
    </w:p>
    <w:p>
      <w:pPr>
        <w:pStyle w:val="Heading3"/>
      </w:pPr>
      <w:r>
        <w:t>5. Justificativa da Escolha</w:t>
      </w:r>
    </w:p>
    <w:p>
      <w:r>
        <w:t>A reposição com peças originais ou compatíveis é a única alternativa viável. A substituição imediata do para-brisa é fundamental para a retomada das operações com segurança, conforme normas de segurança do trabalho.</w:t>
      </w:r>
    </w:p>
    <w:p>
      <w:pPr>
        <w:pStyle w:val="Heading3"/>
      </w:pPr>
      <w:r>
        <w:t>6. Estimativa de Valor</w:t>
      </w:r>
    </w:p>
    <w:p>
      <w:r>
        <w:t>R$ 2.300,00 (dois mil e trezentos reais).</w:t>
      </w:r>
    </w:p>
    <w:p>
      <w:pPr>
        <w:pStyle w:val="Heading2"/>
      </w:pPr>
      <w:r>
        <w:t>TERMO DE REFERÊNCIA (TR)</w:t>
      </w:r>
    </w:p>
    <w:p>
      <w:pPr>
        <w:pStyle w:val="Heading3"/>
      </w:pPr>
      <w:r>
        <w:t>1. Definição do Objeto</w:t>
      </w:r>
    </w:p>
    <w:p>
      <w:r>
        <w:t>Aquisição de 01 (um) vidro frontal laminado e 01 (uma) guarnição de borracha para escavadeira hidráulica LG150, com entrega imediata.</w:t>
      </w:r>
    </w:p>
    <w:p>
      <w:pPr>
        <w:pStyle w:val="Heading3"/>
      </w:pPr>
      <w:r>
        <w:t>2. Fundamentação da Contratação</w:t>
      </w:r>
    </w:p>
    <w:p>
      <w:r>
        <w:t>Art. 74, inciso I, da Lei nº 14.133/2021, tendo em vista que a paralisação da escavadeira compromete diretamente a continuidade de serviços essenciais e representa risco à segurança do operador, configurando situação que pode causar prejuízo ao interesse público.</w:t>
      </w:r>
    </w:p>
    <w:p>
      <w:pPr>
        <w:pStyle w:val="Heading3"/>
      </w:pPr>
      <w:r>
        <w:t>3. Descrição da Solução como um Todo</w:t>
      </w:r>
    </w:p>
    <w:p>
      <w:r>
        <w:t>A escavadeira LG150 está fora de operação por conta de dano no para-brisa frontal. A contratação objetiva a reposição imediata da peça danificada, possibilitando o restabelecimento dos serviços essenciais executados pelo Município.</w:t>
      </w:r>
    </w:p>
    <w:p>
      <w:pPr>
        <w:pStyle w:val="Heading3"/>
      </w:pPr>
      <w:r>
        <w:t>4. Requisitos da Contratação</w:t>
      </w:r>
    </w:p>
    <w:p>
      <w:r>
        <w:t>- Vidro frontal laminado, resistente a impacto, compatível com cabine da escavadeira LG150;</w:t>
        <w:br/>
        <w:t>- Guarnição de borracha flexível, com encaixe próprio;</w:t>
        <w:br/>
        <w:t>- Produtos novos, com garantia mínima de 3 (três) meses;</w:t>
        <w:br/>
        <w:t>- Entrega com nota fiscal e termo de garantia.</w:t>
      </w:r>
    </w:p>
    <w:p>
      <w:pPr>
        <w:pStyle w:val="Heading3"/>
      </w:pPr>
      <w:r>
        <w:t>5. Modelo de Execução do Objeto</w:t>
      </w:r>
    </w:p>
    <w:p>
      <w:r>
        <w:t>Entrega das peças no almoxarifado da Secretaria de Obras, no prazo máximo de 10 (dez) dias corridos após a emissão da Nota de Empenho.</w:t>
      </w:r>
    </w:p>
    <w:p>
      <w:pPr>
        <w:pStyle w:val="Heading3"/>
      </w:pPr>
      <w:r>
        <w:t>6. Modelo de Gestão do Contrato</w:t>
      </w:r>
    </w:p>
    <w:p>
      <w:r>
        <w:t>Fiscalização e recebimento por servidor designado da Secretaria de Obras.</w:t>
      </w:r>
    </w:p>
    <w:p>
      <w:pPr>
        <w:pStyle w:val="Heading3"/>
      </w:pPr>
      <w:r>
        <w:t>7. Critérios de Medição e de Pagamento</w:t>
      </w:r>
    </w:p>
    <w:p>
      <w:r>
        <w:t>Pagamento em parcela única, após a entrega e aceite formal, com apresentação da nota fiscal e termo de recebimento definitivo.</w:t>
      </w:r>
    </w:p>
    <w:p>
      <w:pPr>
        <w:pStyle w:val="Heading3"/>
      </w:pPr>
      <w:r>
        <w:t>8. Forma e Critérios de Seleção do Fornecedor</w:t>
      </w:r>
    </w:p>
    <w:p>
      <w:r>
        <w:t>Critério de menor preço global, com comprovação de atendimento às especificações técnicas.</w:t>
      </w:r>
    </w:p>
    <w:p>
      <w:pPr>
        <w:pStyle w:val="Heading3"/>
      </w:pPr>
      <w:r>
        <w:t>9. Estimativa de Valor da Contratação</w:t>
      </w:r>
    </w:p>
    <w:p>
      <w:r>
        <w:t>R$ 2.300,00 (dois mil e trezentos reais).</w:t>
      </w:r>
    </w:p>
    <w:p>
      <w:pPr>
        <w:pStyle w:val="Heading3"/>
      </w:pPr>
      <w:r>
        <w:t>10. Adequação Orçamentária</w:t>
      </w:r>
    </w:p>
    <w:p>
      <w:r>
        <w:t>Despesa prevista na LOA, na rubrica de manutenção da frota e equipamentos da Secretaria Municipal de Obras.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