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98C90" w14:textId="2FF62F05" w:rsidR="005F5676" w:rsidRDefault="005F5676" w:rsidP="005F5676">
      <w:pPr>
        <w:jc w:val="center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TERMO DE REFERÊNCIA</w:t>
      </w:r>
    </w:p>
    <w:p w14:paraId="0293262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</w:p>
    <w:p w14:paraId="1A322B22" w14:textId="77777777" w:rsid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Contratação emergencial – Art. 75, VIII, da Lei Federal nº 14.133/2021</w:t>
      </w:r>
    </w:p>
    <w:p w14:paraId="25906818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11AD8162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1. DO OBJETO</w:t>
      </w:r>
    </w:p>
    <w:p w14:paraId="484951C3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Contratação emergencial de pessoa jurídica especializada para prestação de serviços de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acolhimento institucional provisório, excepcional, individualizado e protegido de adolescente, em cumprimento de determinação judicial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, compreendendo hospedagem, alimentação, supervisão permanente 24 horas, acompanhamento por cuidadores, atendimento multidisciplinar, acompanhamento em saúde, cuidados pessoais, administração de medicamentos conforme prescrição, apoio à escolarização, elaboração de PIA, emissão de relatórios e articulação com a rede pública de saúde, assistência, educação e proteção.</w:t>
      </w:r>
    </w:p>
    <w:p w14:paraId="3FD2726B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Quantidade: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01 vaga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.</w:t>
      </w:r>
    </w:p>
    <w:p w14:paraId="077C3EC7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Valor mensal estimado: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R$ 8.490,00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.</w:t>
      </w:r>
    </w:p>
    <w:p w14:paraId="44810BD8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Valor máximo projetado para 12 meses: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R$ 101.880,00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.</w:t>
      </w:r>
    </w:p>
    <w:p w14:paraId="25B0361C" w14:textId="21EA4EB1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O orçamento apresentado prevê expressamente o valor mensal de R$ 8.490,00 e detalha os serviços abrangidos pela mensalidade. </w:t>
      </w:r>
    </w:p>
    <w:p w14:paraId="1E727D29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7418A570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2. FUNDAMENTAÇÃO DA CONTRATAÇÃO</w:t>
      </w:r>
    </w:p>
    <w:p w14:paraId="708FAEA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contratação fundamenta-se no art. 75, VIII, da Lei Federal nº 14.133/2021, diante da caracterização de situação emergencial cuja demora no atendimento pode comprometer a segurança e a proteção de pessoa em situação de vulnerabilidade.</w:t>
      </w:r>
    </w:p>
    <w:p w14:paraId="532C04F9" w14:textId="0746B233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determinação judicial autorizou e determinou o encaminhamento da adolescente para acolhimento em caráter excepcional, transitório e subsidiário, até que seja disponibilizada vaga regular ou viabilizada reintegração familiar segura. </w:t>
      </w:r>
    </w:p>
    <w:p w14:paraId="5AC7A93C" w14:textId="1276A58A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própria decisão determinou que o Município custeie integralmente os valores do acolhimento durante o período de permanência e formalize contrato ou instrumento equivalente antes do ingresso. </w:t>
      </w:r>
    </w:p>
    <w:p w14:paraId="38B44867" w14:textId="7AC233B5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hipótese enquadra-se no art. 75, VIII, porque existe necessidade concreta de atendimento imediato e risco de prejuízo à segurança e à continuidade da assistência, não sendo razoável aguardar a conclusão de procedimento licitatório ordinário para iniciar a prestação. </w:t>
      </w:r>
    </w:p>
    <w:p w14:paraId="2CA06FB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774A5694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3. DESCRIÇÃO DA SOLUÇÃO</w:t>
      </w:r>
    </w:p>
    <w:p w14:paraId="79E870A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contratada deverá disponibilizar estrutura residencial adequada, protegida, organizada e compatível com o atendimento individualizado da adolescente.</w:t>
      </w:r>
    </w:p>
    <w:p w14:paraId="6537F2C4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O serviço compreenderá atendimento contínuo durante 24 horas por dia, inclusive finais de semana e feriados.</w:t>
      </w:r>
    </w:p>
    <w:p w14:paraId="2E69398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Deverá ser garantida articulação com serviços públicos de saúde, saúde mental, educação e assistência, bem como acompanhamento das necessidades específicas da adolescente.</w:t>
      </w:r>
    </w:p>
    <w:p w14:paraId="15D087E0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prestação deverá observar integralmente as determinações judiciais supervenientes relacionadas ao acolhimento.</w:t>
      </w:r>
    </w:p>
    <w:p w14:paraId="04924733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7BF946B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4. REQUISITOS DA CONTRATAÇÃO</w:t>
      </w:r>
    </w:p>
    <w:p w14:paraId="251A7FA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contratada deverá possuir estrutura física compatível com o serviço, condições sanitárias regulares e equipe suficiente para acompanhamento contínuo.</w:t>
      </w:r>
    </w:p>
    <w:p w14:paraId="049FBA62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Deverá possuir responsável técnico devidamente habilitado e manter profissionais e cuidadores em quantitativo suficiente para atendimento durante 24 horas.</w:t>
      </w:r>
    </w:p>
    <w:p w14:paraId="7EBDE21E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instituição deverá assegurar medidas de proteção específicas em relação à convivência com residentes adultos, conforme determinação judicial.</w:t>
      </w:r>
    </w:p>
    <w:p w14:paraId="559892A8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Deverá comprovar alvará sanitário vigente, responsabilidade técnica e composição da equipe, além das demais regularidades exigíveis.</w:t>
      </w:r>
    </w:p>
    <w:p w14:paraId="2CC38958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593F1750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5. MODELO DE EXECUÇÃO</w:t>
      </w:r>
    </w:p>
    <w:p w14:paraId="646E418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execução terá início imediatamente após a formalização contratual e autorização do Município, considerando a urgência determinada judicialmente.</w:t>
      </w:r>
    </w:p>
    <w:p w14:paraId="74D6018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O acolhimento será prestado de forma contínua, 24 horas por dia e 7 dias por semana.</w:t>
      </w:r>
    </w:p>
    <w:p w14:paraId="5106B965" w14:textId="2A40B56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contratada deverá elaborar o Plano Individual de Atendimento – PIA, contemplando saúde mental, educação, convivência comunitária, desenvolvimento de autonomia e perspectivas de reintegração familiar, conforme determinado judicialmente. </w:t>
      </w:r>
    </w:p>
    <w:p w14:paraId="0A0327A5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lastRenderedPageBreak/>
        <w:t>Também deverá apresentar relatórios mensais acerca da evolução, adaptação, adesão ao tratamento e eventuais intercorrências.</w:t>
      </w:r>
    </w:p>
    <w:p w14:paraId="5666365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3614912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6. GESTÃO E FISCALIZAÇÃO DO CONTRATO</w:t>
      </w:r>
    </w:p>
    <w:p w14:paraId="4E113F1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execução será acompanhada por servidor formalmente designado como fiscal do contrato.</w:t>
      </w:r>
    </w:p>
    <w:p w14:paraId="06AE187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Compete ao fiscal verificar a permanência efetiva da adolescente, a continuidade dos serviços, condições de acolhimento, apresentação dos relatórios, articulação com a rede pública e cumprimento das determinações judiciais.</w:t>
      </w:r>
    </w:p>
    <w:p w14:paraId="5FEE6A0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O fiscal deverá registrar as ocorrências relacionadas à execução e solicitar correções quando identificadas irregularidades.</w:t>
      </w:r>
    </w:p>
    <w:p w14:paraId="58663042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Situações graves ou que possam comprometer a integridade da adolescente deverão ser imediatamente comunicadas à Secretaria Municipal responsável e, quando pertinente, ao Poder Judiciário.</w:t>
      </w:r>
    </w:p>
    <w:p w14:paraId="16B8941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63564A23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7. MEDIÇÃO, RECEBIMENTO E PAGAMENTO</w:t>
      </w:r>
    </w:p>
    <w:p w14:paraId="00670BB7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medição ocorrerá mensalmente, mediante comprovação da efetiva prestação dos serviços durante o período correspondente.</w:t>
      </w:r>
    </w:p>
    <w:p w14:paraId="0C392DA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contratada deverá apresentar documento fiscal e relatório mensal de acompanhamento, sem prejuízo de outros documentos exigidos pela fiscalização.</w:t>
      </w:r>
    </w:p>
    <w:p w14:paraId="0898D55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O valor mensal máximo será de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R$ 8.490,00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.</w:t>
      </w:r>
    </w:p>
    <w:p w14:paraId="6A3CDD2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Nos meses em que o acolhimento ocorrer apenas parcialmente, deverá ser observado o pagamento proporcional ao período efetivamente prestado, salvo justificativa técnica ou condição contratual específica devidamente fundamentada.</w:t>
      </w:r>
    </w:p>
    <w:p w14:paraId="3BFE3150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O pagamento ficará condicionado ao ateste do fiscal e à manutenção das condições de regularidade exigidas.</w:t>
      </w:r>
    </w:p>
    <w:p w14:paraId="3EA38DFA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21B6A9D3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8. CRITÉRIOS DE SELEÇÃO E HABILITAÇÃO</w:t>
      </w:r>
    </w:p>
    <w:p w14:paraId="779DBC5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contratação deverá observar os requisitos do art. 72 da Lei nº 14.133/2021 e a demonstração da adequação técnica e econômica da solução escolhida.</w:t>
      </w:r>
    </w:p>
    <w:p w14:paraId="7950759B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contratada deverá apresentar documentação de habilitação jurídica, regularidade fiscal, social e trabalhista e documentação técnica compatível com o serviço.</w:t>
      </w:r>
    </w:p>
    <w:p w14:paraId="1EBCA722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Em especial, deverão ser exigidos:</w:t>
      </w:r>
    </w:p>
    <w:p w14:paraId="46648583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CNPJ;</w:t>
      </w:r>
    </w:p>
    <w:p w14:paraId="1962DB58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ato constitutivo/contrato social;</w:t>
      </w:r>
    </w:p>
    <w:p w14:paraId="00856FE7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certidões fiscais pertinentes;</w:t>
      </w:r>
    </w:p>
    <w:p w14:paraId="1A22957C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regularidade perante FGTS;</w:t>
      </w:r>
    </w:p>
    <w:p w14:paraId="3BCD821A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CNDT;</w:t>
      </w:r>
    </w:p>
    <w:p w14:paraId="5604EC6F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alvará de funcionamento, quando aplicável;</w:t>
      </w:r>
    </w:p>
    <w:p w14:paraId="15EF3D56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alvará/licença sanitária;</w:t>
      </w:r>
    </w:p>
    <w:p w14:paraId="1610CC02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identificação e registro do responsável técnico;</w:t>
      </w:r>
    </w:p>
    <w:p w14:paraId="1D6F324F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relação da equipe profissional;</w:t>
      </w:r>
    </w:p>
    <w:p w14:paraId="4DE9C269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documentos de habilitação dos profissionais sujeitos a conselho de classe;</w:t>
      </w:r>
    </w:p>
    <w:p w14:paraId="1BD41B73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declaração de disponibilidade de atendimento 24 horas;</w:t>
      </w:r>
    </w:p>
    <w:p w14:paraId="332DD46F" w14:textId="77777777" w:rsid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declaração de capacidade para atendimento das determinações judiciais.</w:t>
      </w:r>
    </w:p>
    <w:p w14:paraId="27E21465" w14:textId="77777777" w:rsidR="005F5676" w:rsidRPr="005F5676" w:rsidRDefault="005F5676" w:rsidP="005F5676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003B6F02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9. ESTIMATIVA DO VALOR</w:t>
      </w:r>
    </w:p>
    <w:p w14:paraId="031E5A8D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O valor estimado mensal é de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R$ 8.490,00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, resultando em projeção máxima de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R$ 101.880,00 para 12 meses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.</w:t>
      </w:r>
    </w:p>
    <w:p w14:paraId="3E8476E4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estimativa deverá ser complementada pela justificativa de preço constante do processo administrativo, demonstrando compatibilidade com os valores praticados para serviços equivalentes.</w:t>
      </w:r>
    </w:p>
    <w:p w14:paraId="7AD1DC5C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projeção anual possui caráter meramente estimativo e estabelece o limite financeiro máximo, não constituindo obrigação de pagamento integral.</w:t>
      </w:r>
    </w:p>
    <w:p w14:paraId="2A72457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5FFFA3A4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10. ADEQUAÇÃO ORÇAMENTÁRIA</w:t>
      </w:r>
    </w:p>
    <w:p w14:paraId="6D35ABE8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As despesas decorrentes da contratação correrão por conta de dotação orçamentária própria da Secretaria Municipal competente, a ser indicada pelo setor contábil.</w:t>
      </w:r>
    </w:p>
    <w:p w14:paraId="3F10E19C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emissão do empenho deverá preceder a realização da despesa, observadas as normas de execução orçamentária e 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lastRenderedPageBreak/>
        <w:t>financeira aplicáveis.</w:t>
      </w:r>
    </w:p>
    <w:p w14:paraId="1FD5F225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05AC011B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11. OBRIGAÇÕES DA CONTRATADA</w:t>
      </w:r>
    </w:p>
    <w:p w14:paraId="32B31DB6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contratada deverá executar integralmente o objeto; manter acompanhamento 24 horas; fornecer alimentação, hospedagem, higiene e demais cuidados; manter equipe qualificada; administrar medicamentos exclusivamente conforme prescrição; promover articulação com CAPS, UBS e demais serviços; garantir inserção e frequência escolar; elaborar PIA; emitir relatórios mensais; comunicar imediatamente intercorrências relevantes; permitir fiscalização; manter documentação sanitária e profissional regular; preservar dignidade, privacidade e integridade da adolescente; cumprir determinações judiciais e manter absoluto sigilo sobre informações pessoais e clínicas.</w:t>
      </w:r>
    </w:p>
    <w:p w14:paraId="1C878BBD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É vedada a divulgação de imagens, informações, dados pessoais, prontuários ou quaisquer elementos capazes de identificar a adolescente, salvo mediante determinação judicial ou autorização legal específica.</w:t>
      </w:r>
    </w:p>
    <w:p w14:paraId="1FB0D92B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1708831E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12. OBRIGAÇÕES DA CONTRATANTE</w:t>
      </w:r>
    </w:p>
    <w:p w14:paraId="3C9AC4E1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Compete ao Município formalizar a contratação; efetuar os pagamentos; designar gestor e fiscal; fornecer informações necessárias; articular-se com a rede pública; comunicar à contratada as determinações judiciais; acompanhar a execução; adotar providências diante de irregularidades e manter as diligências destinadas à obtenção de solução definitiva de acolhimento.</w:t>
      </w:r>
    </w:p>
    <w:p w14:paraId="187FC14F" w14:textId="05E26B69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O Município deverá continuar buscando vaga em instituição de acolhimento infantojuvenil habilitada, conforme expressamente determinado judicialmente. </w:t>
      </w:r>
    </w:p>
    <w:p w14:paraId="483F6C60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7827B7CE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13. CRITÉRIOS DE ACEITAÇÃO</w:t>
      </w:r>
    </w:p>
    <w:p w14:paraId="26C35E50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Serão considerados satisfatoriamente prestados os serviços quando houver comprovação do acolhimento durante o período faturado; assistência permanente; fornecimento das condições materiais contratadas; acompanhamento técnico; manutenção das condições sanitárias e profissionais; apresentação dos relatórios; execução do PIA e cumprimento das determinações judiciais.</w:t>
      </w:r>
    </w:p>
    <w:p w14:paraId="3005DBEF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O descumprimento de requisito essencial deverá ser formalmente registrado pelo fiscal e poderá ensejar glosa, determinação de correção, responsabilização contratual e demais medidas cabíveis.</w:t>
      </w:r>
    </w:p>
    <w:p w14:paraId="0AE4C83C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6BD3347E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14. SANÇÕES ADMINISTRATIVAS</w:t>
      </w:r>
    </w:p>
    <w:p w14:paraId="2091A95B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O descumprimento das obrigações sujeitará a contratada às sanções previstas nos </w:t>
      </w:r>
      <w:proofErr w:type="spellStart"/>
      <w:r w:rsidRPr="005F5676">
        <w:rPr>
          <w:rFonts w:ascii="Times New Roman" w:hAnsi="Times New Roman" w:cs="Times New Roman"/>
          <w:sz w:val="21"/>
          <w:szCs w:val="21"/>
          <w:lang w:val="pt-BR"/>
        </w:rPr>
        <w:t>arts</w:t>
      </w:r>
      <w:proofErr w:type="spellEnd"/>
      <w:r w:rsidRPr="005F5676">
        <w:rPr>
          <w:rFonts w:ascii="Times New Roman" w:hAnsi="Times New Roman" w:cs="Times New Roman"/>
          <w:sz w:val="21"/>
          <w:szCs w:val="21"/>
          <w:lang w:val="pt-BR"/>
        </w:rPr>
        <w:t>. 155 a 163 da Lei nº 14.133/2021, garantidos o contraditório e a ampla defesa.</w:t>
      </w:r>
    </w:p>
    <w:p w14:paraId="0F1ACAF9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Poderão ser aplicadas, conforme a gravidade da infração, advertência, multa, impedimento de licitar e contratar e declaração de inidoneidade para licitar ou contratar, observados os requisitos legais e o devido processo administrativo.</w:t>
      </w:r>
    </w:p>
    <w:p w14:paraId="11E96DCE" w14:textId="77777777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A aplicação de sanção administrativa não afasta eventual responsabilidade civil, profissional ou penal decorrente dos mesmos fatos.</w:t>
      </w:r>
    </w:p>
    <w:p w14:paraId="09A0C4E9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432625EB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15. VIGÊNCIA E EXTINÇÃO</w:t>
      </w:r>
    </w:p>
    <w:p w14:paraId="2989770C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contratação terá vigência pelo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período estritamente necessário ao atendimento da situação emergencial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, observado o prazo máximo estabelecido pelo art. 75, VIII, da Lei nº 14.133/2021, contado da ocorrência da emergência.</w:t>
      </w:r>
    </w:p>
    <w:p w14:paraId="19A8D690" w14:textId="7B611CA6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O contrato celebrado com fundamento no art. 75, VIII, não será prorrogável com fundamento na mesma situação emergencial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, por expressa vedação legal. </w:t>
      </w:r>
    </w:p>
    <w:p w14:paraId="7D3C058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>O contrato poderá ser extinto antecipadamente, sem necessidade de cumprimento integral da estimativa temporal, quando ocorrer determinação judicial; disponibilização de vaga em entidade regular; reintegração familiar segura; cessação da necessidade de acolhimento; ou outra circunstância juridicamente suficiente.</w:t>
      </w:r>
    </w:p>
    <w:p w14:paraId="02AE4872" w14:textId="0D1A92A6" w:rsid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decisão judicial prevê reavaliação da medida em 60 dias, razão pela qual a fiscalização deverá acompanhar especialmente eventual decisão superveniente capaz de modificar ou extinguir a necessidade contratual. </w:t>
      </w:r>
    </w:p>
    <w:p w14:paraId="6499CD2D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731DFCE0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16. FUNDAMENTO DA DISPENSA EMERGENCIAL</w:t>
      </w:r>
    </w:p>
    <w:p w14:paraId="607B17CF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A contratação direta fundamenta-se no </w:t>
      </w: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art. 75, VIII, da Lei nº 14.133/2021</w:t>
      </w:r>
      <w:r w:rsidRPr="005F5676">
        <w:rPr>
          <w:rFonts w:ascii="Times New Roman" w:hAnsi="Times New Roman" w:cs="Times New Roman"/>
          <w:sz w:val="21"/>
          <w:szCs w:val="21"/>
          <w:lang w:val="pt-BR"/>
        </w:rPr>
        <w:t>, tendo em vista a existência de situação concreta e atual de urgência, caracterizada pela necessidade de assegurar proteção, acolhimento e continuidade assistencial à adolescente abrangida por determinação judicial.</w:t>
      </w:r>
    </w:p>
    <w:p w14:paraId="6D4D4979" w14:textId="5E8817C4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t xml:space="preserve">O Poder Judiciário expressamente qualificou a medida como emergencial e determinou a continuidade das diligências para obtenção de solução regular. </w:t>
      </w:r>
    </w:p>
    <w:p w14:paraId="490888AA" w14:textId="77777777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sz w:val="21"/>
          <w:szCs w:val="21"/>
          <w:lang w:val="pt-BR"/>
        </w:rPr>
        <w:lastRenderedPageBreak/>
        <w:t>A contratação deverá restringir-se ao necessário para enfrentamento da situação emergencial, não podendo ser utilizada como solução definitiva para deficiência estrutural da rede de acolhimento.</w:t>
      </w:r>
    </w:p>
    <w:p w14:paraId="676FB633" w14:textId="34E9EC4A" w:rsidR="005F5676" w:rsidRPr="005F5676" w:rsidRDefault="005F5676" w:rsidP="005F5676">
      <w:pPr>
        <w:jc w:val="both"/>
        <w:rPr>
          <w:rFonts w:ascii="Times New Roman" w:hAnsi="Times New Roman" w:cs="Times New Roman"/>
          <w:sz w:val="21"/>
          <w:szCs w:val="21"/>
          <w:lang w:val="pt-BR"/>
        </w:rPr>
      </w:pPr>
    </w:p>
    <w:p w14:paraId="43ADB791" w14:textId="77777777" w:rsidR="005F5676" w:rsidRPr="005F5676" w:rsidRDefault="005F5676" w:rsidP="005F5676">
      <w:pPr>
        <w:jc w:val="both"/>
        <w:rPr>
          <w:rFonts w:ascii="Times New Roman" w:hAnsi="Times New Roman" w:cs="Times New Roman"/>
          <w:b/>
          <w:bCs/>
          <w:sz w:val="21"/>
          <w:szCs w:val="21"/>
          <w:lang w:val="pt-BR"/>
        </w:rPr>
      </w:pPr>
      <w:r w:rsidRPr="005F5676">
        <w:rPr>
          <w:rFonts w:ascii="Times New Roman" w:hAnsi="Times New Roman" w:cs="Times New Roman"/>
          <w:b/>
          <w:bCs/>
          <w:sz w:val="21"/>
          <w:szCs w:val="21"/>
          <w:lang w:val="pt-BR"/>
        </w:rPr>
        <w:t>17. MATRIZ DE RISCOS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4"/>
        <w:gridCol w:w="1352"/>
        <w:gridCol w:w="1201"/>
        <w:gridCol w:w="2098"/>
        <w:gridCol w:w="2784"/>
      </w:tblGrid>
      <w:tr w:rsidR="005F5676" w:rsidRPr="005F5676" w14:paraId="0216257F" w14:textId="77777777" w:rsidTr="005F567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6804DF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  <w:t>Risco</w:t>
            </w:r>
          </w:p>
        </w:tc>
        <w:tc>
          <w:tcPr>
            <w:tcW w:w="0" w:type="auto"/>
            <w:vAlign w:val="center"/>
            <w:hideMark/>
          </w:tcPr>
          <w:p w14:paraId="038FDEFE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  <w:t>Probabilidade</w:t>
            </w:r>
          </w:p>
        </w:tc>
        <w:tc>
          <w:tcPr>
            <w:tcW w:w="0" w:type="auto"/>
            <w:vAlign w:val="center"/>
            <w:hideMark/>
          </w:tcPr>
          <w:p w14:paraId="416A730A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  <w:t>Impacto</w:t>
            </w:r>
          </w:p>
        </w:tc>
        <w:tc>
          <w:tcPr>
            <w:tcW w:w="0" w:type="auto"/>
            <w:vAlign w:val="center"/>
            <w:hideMark/>
          </w:tcPr>
          <w:p w14:paraId="2BCC2C6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  <w:t>Responsável</w:t>
            </w:r>
          </w:p>
        </w:tc>
        <w:tc>
          <w:tcPr>
            <w:tcW w:w="0" w:type="auto"/>
            <w:vAlign w:val="center"/>
            <w:hideMark/>
          </w:tcPr>
          <w:p w14:paraId="52CF9F11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b/>
                <w:bCs/>
                <w:sz w:val="21"/>
                <w:szCs w:val="21"/>
                <w:lang w:val="pt-BR"/>
              </w:rPr>
              <w:t>Medida preventiva/mitigadora</w:t>
            </w:r>
          </w:p>
        </w:tc>
      </w:tr>
      <w:tr w:rsidR="005F5676" w:rsidRPr="005F5676" w14:paraId="3C1930A0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9363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Interrupção do acolhimento</w:t>
            </w:r>
          </w:p>
        </w:tc>
        <w:tc>
          <w:tcPr>
            <w:tcW w:w="0" w:type="auto"/>
            <w:vAlign w:val="center"/>
            <w:hideMark/>
          </w:tcPr>
          <w:p w14:paraId="44914428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Baixa/Média</w:t>
            </w:r>
          </w:p>
        </w:tc>
        <w:tc>
          <w:tcPr>
            <w:tcW w:w="0" w:type="auto"/>
            <w:vAlign w:val="center"/>
            <w:hideMark/>
          </w:tcPr>
          <w:p w14:paraId="13F08627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Muito alto</w:t>
            </w:r>
          </w:p>
        </w:tc>
        <w:tc>
          <w:tcPr>
            <w:tcW w:w="0" w:type="auto"/>
            <w:vAlign w:val="center"/>
            <w:hideMark/>
          </w:tcPr>
          <w:p w14:paraId="0D5754EC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Contratada/Contratante</w:t>
            </w:r>
          </w:p>
        </w:tc>
        <w:tc>
          <w:tcPr>
            <w:tcW w:w="0" w:type="auto"/>
            <w:vAlign w:val="center"/>
            <w:hideMark/>
          </w:tcPr>
          <w:p w14:paraId="6A619189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Fiscalização contínua e comunicação imediata</w:t>
            </w:r>
          </w:p>
        </w:tc>
      </w:tr>
      <w:tr w:rsidR="005F5676" w:rsidRPr="005F5676" w14:paraId="13FCFB9B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B4DA2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Insuficiência de profissionais</w:t>
            </w:r>
          </w:p>
        </w:tc>
        <w:tc>
          <w:tcPr>
            <w:tcW w:w="0" w:type="auto"/>
            <w:vAlign w:val="center"/>
            <w:hideMark/>
          </w:tcPr>
          <w:p w14:paraId="088DFBB9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14:paraId="49FEA0B4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14:paraId="4867F19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</w:t>
            </w:r>
          </w:p>
        </w:tc>
        <w:tc>
          <w:tcPr>
            <w:tcW w:w="0" w:type="auto"/>
            <w:vAlign w:val="center"/>
            <w:hideMark/>
          </w:tcPr>
          <w:p w14:paraId="56ABB2F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Manutenção de equipe e escala compatíveis</w:t>
            </w:r>
          </w:p>
        </w:tc>
      </w:tr>
      <w:tr w:rsidR="005F5676" w:rsidRPr="005F5676" w14:paraId="4C78152E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D2F4A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Intercorrência em saúde mental</w:t>
            </w:r>
          </w:p>
        </w:tc>
        <w:tc>
          <w:tcPr>
            <w:tcW w:w="0" w:type="auto"/>
            <w:vAlign w:val="center"/>
            <w:hideMark/>
          </w:tcPr>
          <w:p w14:paraId="0B1C1CC0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14:paraId="5087B6C2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Muito alto</w:t>
            </w:r>
          </w:p>
        </w:tc>
        <w:tc>
          <w:tcPr>
            <w:tcW w:w="0" w:type="auto"/>
            <w:vAlign w:val="center"/>
            <w:hideMark/>
          </w:tcPr>
          <w:p w14:paraId="017B157C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Contratada/Rede de Saúde</w:t>
            </w:r>
          </w:p>
        </w:tc>
        <w:tc>
          <w:tcPr>
            <w:tcW w:w="0" w:type="auto"/>
            <w:vAlign w:val="center"/>
            <w:hideMark/>
          </w:tcPr>
          <w:p w14:paraId="69F3E3D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Acompanhamento contínuo e acionamento do CAPS/rede</w:t>
            </w:r>
          </w:p>
        </w:tc>
      </w:tr>
      <w:tr w:rsidR="005F5676" w:rsidRPr="005F5676" w14:paraId="057955EE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170DC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Falha na administração de medicamentos</w:t>
            </w:r>
          </w:p>
        </w:tc>
        <w:tc>
          <w:tcPr>
            <w:tcW w:w="0" w:type="auto"/>
            <w:vAlign w:val="center"/>
            <w:hideMark/>
          </w:tcPr>
          <w:p w14:paraId="3EE3780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3780385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Muito alto</w:t>
            </w:r>
          </w:p>
        </w:tc>
        <w:tc>
          <w:tcPr>
            <w:tcW w:w="0" w:type="auto"/>
            <w:vAlign w:val="center"/>
            <w:hideMark/>
          </w:tcPr>
          <w:p w14:paraId="4CFDA031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</w:t>
            </w:r>
          </w:p>
        </w:tc>
        <w:tc>
          <w:tcPr>
            <w:tcW w:w="0" w:type="auto"/>
            <w:vAlign w:val="center"/>
            <w:hideMark/>
          </w:tcPr>
          <w:p w14:paraId="38F7620D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Controle de prescrição e administração por pessoal habilitado</w:t>
            </w:r>
          </w:p>
        </w:tc>
      </w:tr>
      <w:tr w:rsidR="005F5676" w:rsidRPr="005F5676" w14:paraId="01613DCE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250B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Ausência de acompanhamento escolar</w:t>
            </w:r>
          </w:p>
        </w:tc>
        <w:tc>
          <w:tcPr>
            <w:tcW w:w="0" w:type="auto"/>
            <w:vAlign w:val="center"/>
            <w:hideMark/>
          </w:tcPr>
          <w:p w14:paraId="773E903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14:paraId="362F2F66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14:paraId="4B3A367E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Contratada/Contratante</w:t>
            </w:r>
          </w:p>
        </w:tc>
        <w:tc>
          <w:tcPr>
            <w:tcW w:w="0" w:type="auto"/>
            <w:vAlign w:val="center"/>
            <w:hideMark/>
          </w:tcPr>
          <w:p w14:paraId="134962D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Articulação com rede de ensino</w:t>
            </w:r>
          </w:p>
        </w:tc>
      </w:tr>
      <w:tr w:rsidR="005F5676" w:rsidRPr="005F5676" w14:paraId="18C2F202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CB2B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Não apresentação dos relatórios</w:t>
            </w:r>
          </w:p>
        </w:tc>
        <w:tc>
          <w:tcPr>
            <w:tcW w:w="0" w:type="auto"/>
            <w:vAlign w:val="center"/>
            <w:hideMark/>
          </w:tcPr>
          <w:p w14:paraId="52B02C9B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14:paraId="4BAC28C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Médio/Alto</w:t>
            </w:r>
          </w:p>
        </w:tc>
        <w:tc>
          <w:tcPr>
            <w:tcW w:w="0" w:type="auto"/>
            <w:vAlign w:val="center"/>
            <w:hideMark/>
          </w:tcPr>
          <w:p w14:paraId="26A498F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</w:t>
            </w:r>
          </w:p>
        </w:tc>
        <w:tc>
          <w:tcPr>
            <w:tcW w:w="0" w:type="auto"/>
            <w:vAlign w:val="center"/>
            <w:hideMark/>
          </w:tcPr>
          <w:p w14:paraId="138CB9DC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Fiscalização mensal e notificação</w:t>
            </w:r>
          </w:p>
        </w:tc>
      </w:tr>
      <w:tr w:rsidR="005F5676" w:rsidRPr="005F5676" w14:paraId="46383681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AFC57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Perda de regularidade sanitária</w:t>
            </w:r>
          </w:p>
        </w:tc>
        <w:tc>
          <w:tcPr>
            <w:tcW w:w="0" w:type="auto"/>
            <w:vAlign w:val="center"/>
            <w:hideMark/>
          </w:tcPr>
          <w:p w14:paraId="4B3F3F44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546AED3E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Muito alto</w:t>
            </w:r>
          </w:p>
        </w:tc>
        <w:tc>
          <w:tcPr>
            <w:tcW w:w="0" w:type="auto"/>
            <w:vAlign w:val="center"/>
            <w:hideMark/>
          </w:tcPr>
          <w:p w14:paraId="251C3FB0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</w:t>
            </w:r>
          </w:p>
        </w:tc>
        <w:tc>
          <w:tcPr>
            <w:tcW w:w="0" w:type="auto"/>
            <w:vAlign w:val="center"/>
            <w:hideMark/>
          </w:tcPr>
          <w:p w14:paraId="47C4067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Manutenção permanente de licenças</w:t>
            </w:r>
          </w:p>
        </w:tc>
      </w:tr>
      <w:tr w:rsidR="005F5676" w:rsidRPr="005F5676" w14:paraId="2AC1480D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FCCB3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Vazamento de dados pessoais ou clínicos</w:t>
            </w:r>
          </w:p>
        </w:tc>
        <w:tc>
          <w:tcPr>
            <w:tcW w:w="0" w:type="auto"/>
            <w:vAlign w:val="center"/>
            <w:hideMark/>
          </w:tcPr>
          <w:p w14:paraId="28ACE710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0C292A5B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Muito alto</w:t>
            </w:r>
          </w:p>
        </w:tc>
        <w:tc>
          <w:tcPr>
            <w:tcW w:w="0" w:type="auto"/>
            <w:vAlign w:val="center"/>
            <w:hideMark/>
          </w:tcPr>
          <w:p w14:paraId="224A9ADC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Contratada</w:t>
            </w:r>
          </w:p>
        </w:tc>
        <w:tc>
          <w:tcPr>
            <w:tcW w:w="0" w:type="auto"/>
            <w:vAlign w:val="center"/>
            <w:hideMark/>
          </w:tcPr>
          <w:p w14:paraId="2323AD6F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Sigilo, controle de acesso e observância da LGPD</w:t>
            </w:r>
          </w:p>
        </w:tc>
      </w:tr>
      <w:tr w:rsidR="005F5676" w:rsidRPr="005F5676" w14:paraId="01891E65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F5F490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Determinação judicial alterando o acolhimento</w:t>
            </w:r>
          </w:p>
        </w:tc>
        <w:tc>
          <w:tcPr>
            <w:tcW w:w="0" w:type="auto"/>
            <w:vAlign w:val="center"/>
            <w:hideMark/>
          </w:tcPr>
          <w:p w14:paraId="1DB409FD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Média</w:t>
            </w:r>
          </w:p>
        </w:tc>
        <w:tc>
          <w:tcPr>
            <w:tcW w:w="0" w:type="auto"/>
            <w:vAlign w:val="center"/>
            <w:hideMark/>
          </w:tcPr>
          <w:p w14:paraId="1EEFE1F0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Alto</w:t>
            </w:r>
          </w:p>
        </w:tc>
        <w:tc>
          <w:tcPr>
            <w:tcW w:w="0" w:type="auto"/>
            <w:vAlign w:val="center"/>
            <w:hideMark/>
          </w:tcPr>
          <w:p w14:paraId="73BB8269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Contratante</w:t>
            </w:r>
          </w:p>
        </w:tc>
        <w:tc>
          <w:tcPr>
            <w:tcW w:w="0" w:type="auto"/>
            <w:vAlign w:val="center"/>
            <w:hideMark/>
          </w:tcPr>
          <w:p w14:paraId="7B86E842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Acompanhamento permanente do processo judicial</w:t>
            </w:r>
          </w:p>
        </w:tc>
      </w:tr>
      <w:tr w:rsidR="005F5676" w:rsidRPr="005F5676" w14:paraId="2803326E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FCA42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Disponibilização de vaga regular durante o contrato</w:t>
            </w:r>
          </w:p>
        </w:tc>
        <w:tc>
          <w:tcPr>
            <w:tcW w:w="0" w:type="auto"/>
            <w:vAlign w:val="center"/>
            <w:hideMark/>
          </w:tcPr>
          <w:p w14:paraId="69DEF6FB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Média/Alta</w:t>
            </w:r>
          </w:p>
        </w:tc>
        <w:tc>
          <w:tcPr>
            <w:tcW w:w="0" w:type="auto"/>
            <w:vAlign w:val="center"/>
            <w:hideMark/>
          </w:tcPr>
          <w:p w14:paraId="29B5D894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Positivo/Alto</w:t>
            </w:r>
          </w:p>
        </w:tc>
        <w:tc>
          <w:tcPr>
            <w:tcW w:w="0" w:type="auto"/>
            <w:vAlign w:val="center"/>
            <w:hideMark/>
          </w:tcPr>
          <w:p w14:paraId="404274BE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Contratante</w:t>
            </w:r>
          </w:p>
        </w:tc>
        <w:tc>
          <w:tcPr>
            <w:tcW w:w="0" w:type="auto"/>
            <w:vAlign w:val="center"/>
            <w:hideMark/>
          </w:tcPr>
          <w:p w14:paraId="508561BB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Extinção/adequação imediata da contratação emergencial</w:t>
            </w:r>
          </w:p>
        </w:tc>
      </w:tr>
      <w:tr w:rsidR="005F5676" w:rsidRPr="005F5676" w14:paraId="48CCA438" w14:textId="77777777" w:rsidTr="005F567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2643B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Permanência emergencial além do limite legal</w:t>
            </w:r>
          </w:p>
        </w:tc>
        <w:tc>
          <w:tcPr>
            <w:tcW w:w="0" w:type="auto"/>
            <w:vAlign w:val="center"/>
            <w:hideMark/>
          </w:tcPr>
          <w:p w14:paraId="5FBBDCBC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Baixa</w:t>
            </w:r>
          </w:p>
        </w:tc>
        <w:tc>
          <w:tcPr>
            <w:tcW w:w="0" w:type="auto"/>
            <w:vAlign w:val="center"/>
            <w:hideMark/>
          </w:tcPr>
          <w:p w14:paraId="45100611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Muito alto</w:t>
            </w:r>
          </w:p>
        </w:tc>
        <w:tc>
          <w:tcPr>
            <w:tcW w:w="0" w:type="auto"/>
            <w:vAlign w:val="center"/>
            <w:hideMark/>
          </w:tcPr>
          <w:p w14:paraId="12C597FD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Contratante</w:t>
            </w:r>
          </w:p>
        </w:tc>
        <w:tc>
          <w:tcPr>
            <w:tcW w:w="0" w:type="auto"/>
            <w:vAlign w:val="center"/>
            <w:hideMark/>
          </w:tcPr>
          <w:p w14:paraId="41648845" w14:textId="77777777" w:rsidR="005F5676" w:rsidRPr="005F5676" w:rsidRDefault="005F5676" w:rsidP="005F5676">
            <w:pPr>
              <w:jc w:val="both"/>
              <w:rPr>
                <w:rFonts w:ascii="Times New Roman" w:hAnsi="Times New Roman" w:cs="Times New Roman"/>
                <w:sz w:val="21"/>
                <w:szCs w:val="21"/>
                <w:lang w:val="pt-BR"/>
              </w:rPr>
            </w:pPr>
            <w:r w:rsidRPr="005F5676">
              <w:rPr>
                <w:rFonts w:ascii="Times New Roman" w:hAnsi="Times New Roman" w:cs="Times New Roman"/>
                <w:sz w:val="21"/>
                <w:szCs w:val="21"/>
                <w:lang w:val="pt-BR"/>
              </w:rPr>
              <w:t>Controle do prazo e adoção antecipada de solução regular</w:t>
            </w:r>
          </w:p>
        </w:tc>
      </w:tr>
    </w:tbl>
    <w:p w14:paraId="17D25253" w14:textId="3D3BAA8E" w:rsidR="00223138" w:rsidRPr="005F5676" w:rsidRDefault="00223138" w:rsidP="005F5676">
      <w:pPr>
        <w:jc w:val="both"/>
        <w:rPr>
          <w:rFonts w:ascii="Times New Roman" w:hAnsi="Times New Roman" w:cs="Times New Roman"/>
          <w:sz w:val="21"/>
          <w:szCs w:val="21"/>
        </w:rPr>
      </w:pPr>
    </w:p>
    <w:sectPr w:rsidR="00223138" w:rsidRPr="005F5676" w:rsidSect="00794355">
      <w:headerReference w:type="default" r:id="rId8"/>
      <w:footerReference w:type="default" r:id="rId9"/>
      <w:pgSz w:w="11910" w:h="16850"/>
      <w:pgMar w:top="1417" w:right="570" w:bottom="1417" w:left="1701" w:header="280" w:footer="2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6D79" w14:textId="77777777" w:rsidR="009C3F8C" w:rsidRDefault="009C3F8C">
      <w:r>
        <w:separator/>
      </w:r>
    </w:p>
  </w:endnote>
  <w:endnote w:type="continuationSeparator" w:id="0">
    <w:p w14:paraId="17C28409" w14:textId="77777777" w:rsidR="009C3F8C" w:rsidRDefault="009C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F21E4" w14:textId="2BB79BA1" w:rsidR="00234BB5" w:rsidRPr="00FC0652" w:rsidRDefault="00234BB5" w:rsidP="004B11BF">
    <w:pPr>
      <w:jc w:val="right"/>
      <w:rPr>
        <w:rFonts w:eastAsia="Arial"/>
        <w:sz w:val="18"/>
        <w:szCs w:val="18"/>
      </w:rPr>
    </w:pPr>
    <w:r>
      <w:rPr>
        <w:noProof/>
        <w:lang w:val="pt-BR" w:eastAsia="pt-BR"/>
      </w:rPr>
      <w:drawing>
        <wp:anchor distT="0" distB="0" distL="114300" distR="114300" simplePos="0" relativeHeight="251662336" behindDoc="1" locked="0" layoutInCell="0" allowOverlap="1" wp14:anchorId="129846C1" wp14:editId="27EC34F0">
          <wp:simplePos x="0" y="0"/>
          <wp:positionH relativeFrom="column">
            <wp:posOffset>74295</wp:posOffset>
          </wp:positionH>
          <wp:positionV relativeFrom="paragraph">
            <wp:posOffset>45720</wp:posOffset>
          </wp:positionV>
          <wp:extent cx="795655" cy="541655"/>
          <wp:effectExtent l="0" t="0" r="4445" b="0"/>
          <wp:wrapNone/>
          <wp:docPr id="1308115003" name="Imagem 1308115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6924287A" w14:textId="77777777" w:rsidR="00234BB5" w:rsidRPr="00FC0652" w:rsidRDefault="00234BB5" w:rsidP="004B11BF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2B31CBE1" w14:textId="77777777" w:rsidR="00234BB5" w:rsidRPr="00FC0652" w:rsidRDefault="00234BB5" w:rsidP="004B11BF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30673E5F" w14:textId="77777777" w:rsidR="00234BB5" w:rsidRPr="00FC0652" w:rsidRDefault="00234BB5" w:rsidP="004B11BF">
    <w:pPr>
      <w:ind w:left="276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CEP: 98.995-000 – Porto Xavier – RS – BRASIL</w:t>
    </w:r>
  </w:p>
  <w:p w14:paraId="1EB8F678" w14:textId="77777777" w:rsidR="00234BB5" w:rsidRDefault="00234B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ECD6" w14:textId="77777777" w:rsidR="009C3F8C" w:rsidRDefault="009C3F8C">
      <w:r>
        <w:separator/>
      </w:r>
    </w:p>
  </w:footnote>
  <w:footnote w:type="continuationSeparator" w:id="0">
    <w:p w14:paraId="0C33E14D" w14:textId="77777777" w:rsidR="009C3F8C" w:rsidRDefault="009C3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9A2A" w14:textId="77777777" w:rsidR="009657E3" w:rsidRDefault="009657E3" w:rsidP="004B11BF">
    <w:pPr>
      <w:pStyle w:val="Cabealho"/>
      <w:jc w:val="center"/>
      <w:rPr>
        <w:rFonts w:eastAsia="Arial"/>
        <w:b/>
      </w:rPr>
    </w:pPr>
  </w:p>
  <w:p w14:paraId="50E68E2C" w14:textId="221CC73F" w:rsidR="00234BB5" w:rsidRDefault="00234BB5" w:rsidP="004B11BF">
    <w:pPr>
      <w:pStyle w:val="Cabealho"/>
      <w:jc w:val="center"/>
      <w:rPr>
        <w:rFonts w:eastAsia="Arial"/>
        <w:b/>
      </w:rPr>
    </w:pP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09A562E0" wp14:editId="75B7AAB5">
          <wp:simplePos x="0" y="0"/>
          <wp:positionH relativeFrom="margin">
            <wp:posOffset>4748530</wp:posOffset>
          </wp:positionH>
          <wp:positionV relativeFrom="paragraph">
            <wp:posOffset>28575</wp:posOffset>
          </wp:positionV>
          <wp:extent cx="1114425" cy="828675"/>
          <wp:effectExtent l="0" t="0" r="9525" b="9525"/>
          <wp:wrapNone/>
          <wp:docPr id="1308115002" name="Imagem 1308115002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08eb32d-888d-4347-9350-945583dc664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E91F5A" w14:textId="77777777" w:rsidR="00234BB5" w:rsidRPr="00822DFD" w:rsidRDefault="00234BB5" w:rsidP="004B11BF">
    <w:pPr>
      <w:pStyle w:val="Cabealho"/>
      <w:jc w:val="center"/>
      <w:rPr>
        <w:rFonts w:eastAsia="Arial"/>
        <w:b/>
        <w:sz w:val="24"/>
        <w:szCs w:val="24"/>
      </w:rPr>
    </w:pPr>
    <w:r w:rsidRPr="00822DFD">
      <w:rPr>
        <w:rFonts w:eastAsia="Arial"/>
        <w:b/>
        <w:sz w:val="24"/>
        <w:szCs w:val="24"/>
      </w:rPr>
      <w:t>ESTADO DO RIO GRANDE DO SUL</w:t>
    </w:r>
  </w:p>
  <w:p w14:paraId="056492B8" w14:textId="25CAA90D" w:rsidR="00234BB5" w:rsidRPr="00822DFD" w:rsidRDefault="00234BB5" w:rsidP="004B11BF">
    <w:pPr>
      <w:pStyle w:val="Cabealho"/>
      <w:jc w:val="center"/>
      <w:rPr>
        <w:sz w:val="24"/>
        <w:szCs w:val="24"/>
      </w:rPr>
    </w:pPr>
    <w:r w:rsidRPr="00822DFD"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1" locked="0" layoutInCell="0" allowOverlap="1" wp14:anchorId="28CED689" wp14:editId="008FC023">
          <wp:simplePos x="0" y="0"/>
          <wp:positionH relativeFrom="margin">
            <wp:posOffset>-114300</wp:posOffset>
          </wp:positionH>
          <wp:positionV relativeFrom="page">
            <wp:posOffset>438150</wp:posOffset>
          </wp:positionV>
          <wp:extent cx="742950" cy="809625"/>
          <wp:effectExtent l="0" t="0" r="0" b="9525"/>
          <wp:wrapNone/>
          <wp:docPr id="1308115001" name="Imagem 1308115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2DFD">
      <w:rPr>
        <w:rFonts w:eastAsia="Arial"/>
        <w:b/>
        <w:sz w:val="24"/>
        <w:szCs w:val="24"/>
      </w:rPr>
      <w:t>PREFEITURA MUNICIPAL DE PORTO</w:t>
    </w:r>
  </w:p>
  <w:p w14:paraId="7E5D5A35" w14:textId="6A0C23AD" w:rsidR="00234BB5" w:rsidRDefault="009657E3" w:rsidP="009657E3">
    <w:pPr>
      <w:pStyle w:val="Cabealho"/>
      <w:tabs>
        <w:tab w:val="clear" w:pos="4252"/>
        <w:tab w:val="clear" w:pos="8504"/>
        <w:tab w:val="left" w:pos="5310"/>
      </w:tabs>
    </w:pPr>
    <w:r>
      <w:tab/>
    </w:r>
  </w:p>
  <w:p w14:paraId="6EC19EBA" w14:textId="77777777" w:rsidR="009657E3" w:rsidRDefault="009657E3" w:rsidP="009657E3">
    <w:pPr>
      <w:pStyle w:val="Cabealho"/>
      <w:tabs>
        <w:tab w:val="clear" w:pos="4252"/>
        <w:tab w:val="clear" w:pos="8504"/>
        <w:tab w:val="left" w:pos="5310"/>
      </w:tabs>
    </w:pPr>
  </w:p>
  <w:p w14:paraId="00119C0D" w14:textId="77777777" w:rsidR="00234BB5" w:rsidRDefault="00234B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F3DE3"/>
    <w:multiLevelType w:val="multilevel"/>
    <w:tmpl w:val="DA685A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9E40F1"/>
    <w:multiLevelType w:val="multilevel"/>
    <w:tmpl w:val="37CE2C8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33C24"/>
    <w:multiLevelType w:val="multilevel"/>
    <w:tmpl w:val="DDA8F9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A26153"/>
    <w:multiLevelType w:val="multilevel"/>
    <w:tmpl w:val="F90ABAB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8653F0"/>
    <w:multiLevelType w:val="multilevel"/>
    <w:tmpl w:val="BBA644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A60DC1"/>
    <w:multiLevelType w:val="multilevel"/>
    <w:tmpl w:val="BA2CDA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DD24C1"/>
    <w:multiLevelType w:val="multilevel"/>
    <w:tmpl w:val="5F28FD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170FB"/>
    <w:multiLevelType w:val="multilevel"/>
    <w:tmpl w:val="3E7C8C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B67298"/>
    <w:multiLevelType w:val="multilevel"/>
    <w:tmpl w:val="E102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8427F4"/>
    <w:multiLevelType w:val="multilevel"/>
    <w:tmpl w:val="0FF6A8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7207CF"/>
    <w:multiLevelType w:val="multilevel"/>
    <w:tmpl w:val="8DDCB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3A3FB1"/>
    <w:multiLevelType w:val="multilevel"/>
    <w:tmpl w:val="50EA97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F45AD0"/>
    <w:multiLevelType w:val="multilevel"/>
    <w:tmpl w:val="2888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EF7037"/>
    <w:multiLevelType w:val="multilevel"/>
    <w:tmpl w:val="873CAA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0208EB"/>
    <w:multiLevelType w:val="multilevel"/>
    <w:tmpl w:val="9828C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4A7C61"/>
    <w:multiLevelType w:val="multilevel"/>
    <w:tmpl w:val="BFBC36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3153034">
    <w:abstractNumId w:val="10"/>
  </w:num>
  <w:num w:numId="2" w16cid:durableId="751269810">
    <w:abstractNumId w:val="4"/>
  </w:num>
  <w:num w:numId="3" w16cid:durableId="1301839808">
    <w:abstractNumId w:val="13"/>
  </w:num>
  <w:num w:numId="4" w16cid:durableId="120460812">
    <w:abstractNumId w:val="5"/>
  </w:num>
  <w:num w:numId="5" w16cid:durableId="908272725">
    <w:abstractNumId w:val="15"/>
  </w:num>
  <w:num w:numId="6" w16cid:durableId="306857817">
    <w:abstractNumId w:val="6"/>
  </w:num>
  <w:num w:numId="7" w16cid:durableId="626274455">
    <w:abstractNumId w:val="1"/>
  </w:num>
  <w:num w:numId="8" w16cid:durableId="1515878881">
    <w:abstractNumId w:val="11"/>
  </w:num>
  <w:num w:numId="9" w16cid:durableId="2101557049">
    <w:abstractNumId w:val="2"/>
  </w:num>
  <w:num w:numId="10" w16cid:durableId="661278866">
    <w:abstractNumId w:val="9"/>
  </w:num>
  <w:num w:numId="11" w16cid:durableId="962153597">
    <w:abstractNumId w:val="7"/>
  </w:num>
  <w:num w:numId="12" w16cid:durableId="572736302">
    <w:abstractNumId w:val="3"/>
  </w:num>
  <w:num w:numId="13" w16cid:durableId="453721632">
    <w:abstractNumId w:val="0"/>
  </w:num>
  <w:num w:numId="14" w16cid:durableId="1300260019">
    <w:abstractNumId w:val="12"/>
  </w:num>
  <w:num w:numId="15" w16cid:durableId="1005858768">
    <w:abstractNumId w:val="14"/>
  </w:num>
  <w:num w:numId="16" w16cid:durableId="90383236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D6"/>
    <w:rsid w:val="00060A59"/>
    <w:rsid w:val="000C1688"/>
    <w:rsid w:val="000C1C22"/>
    <w:rsid w:val="000F52FD"/>
    <w:rsid w:val="000F781C"/>
    <w:rsid w:val="001415A0"/>
    <w:rsid w:val="001456EA"/>
    <w:rsid w:val="00176652"/>
    <w:rsid w:val="001D204F"/>
    <w:rsid w:val="001E303A"/>
    <w:rsid w:val="00214729"/>
    <w:rsid w:val="00223138"/>
    <w:rsid w:val="00234BB5"/>
    <w:rsid w:val="00250EB0"/>
    <w:rsid w:val="0026606B"/>
    <w:rsid w:val="0027381E"/>
    <w:rsid w:val="002A43B8"/>
    <w:rsid w:val="002A61DA"/>
    <w:rsid w:val="002D4A3D"/>
    <w:rsid w:val="002D5C67"/>
    <w:rsid w:val="002F31EB"/>
    <w:rsid w:val="002F70CD"/>
    <w:rsid w:val="00314875"/>
    <w:rsid w:val="00377533"/>
    <w:rsid w:val="003B3D75"/>
    <w:rsid w:val="003C7F9E"/>
    <w:rsid w:val="003D731E"/>
    <w:rsid w:val="004038F6"/>
    <w:rsid w:val="00437FD4"/>
    <w:rsid w:val="00466C0E"/>
    <w:rsid w:val="004B11BF"/>
    <w:rsid w:val="004C4FF0"/>
    <w:rsid w:val="004D1870"/>
    <w:rsid w:val="00512723"/>
    <w:rsid w:val="00523E2C"/>
    <w:rsid w:val="00533DB4"/>
    <w:rsid w:val="005466E0"/>
    <w:rsid w:val="00553D76"/>
    <w:rsid w:val="00584A00"/>
    <w:rsid w:val="005E6329"/>
    <w:rsid w:val="005F2F90"/>
    <w:rsid w:val="005F5676"/>
    <w:rsid w:val="00616656"/>
    <w:rsid w:val="0066279F"/>
    <w:rsid w:val="006B1562"/>
    <w:rsid w:val="006C662F"/>
    <w:rsid w:val="00716348"/>
    <w:rsid w:val="0072607E"/>
    <w:rsid w:val="00730E03"/>
    <w:rsid w:val="00741E41"/>
    <w:rsid w:val="00747A83"/>
    <w:rsid w:val="00794355"/>
    <w:rsid w:val="007A6C33"/>
    <w:rsid w:val="007D46A7"/>
    <w:rsid w:val="00841B29"/>
    <w:rsid w:val="008467C0"/>
    <w:rsid w:val="0088345B"/>
    <w:rsid w:val="00903179"/>
    <w:rsid w:val="0092389D"/>
    <w:rsid w:val="0094177C"/>
    <w:rsid w:val="00961AB8"/>
    <w:rsid w:val="009624E3"/>
    <w:rsid w:val="009657E3"/>
    <w:rsid w:val="00966EB1"/>
    <w:rsid w:val="009A3E03"/>
    <w:rsid w:val="009A7753"/>
    <w:rsid w:val="009C3F8C"/>
    <w:rsid w:val="00A112F4"/>
    <w:rsid w:val="00A2411F"/>
    <w:rsid w:val="00A24F4A"/>
    <w:rsid w:val="00A263D6"/>
    <w:rsid w:val="00A26BED"/>
    <w:rsid w:val="00A533FA"/>
    <w:rsid w:val="00A64C8C"/>
    <w:rsid w:val="00A64E7E"/>
    <w:rsid w:val="00AA7C08"/>
    <w:rsid w:val="00AC0A25"/>
    <w:rsid w:val="00AE667C"/>
    <w:rsid w:val="00AF2D89"/>
    <w:rsid w:val="00AF41CB"/>
    <w:rsid w:val="00AF7E0D"/>
    <w:rsid w:val="00B458F8"/>
    <w:rsid w:val="00B94647"/>
    <w:rsid w:val="00BB38BD"/>
    <w:rsid w:val="00BC03AF"/>
    <w:rsid w:val="00C26841"/>
    <w:rsid w:val="00C9512A"/>
    <w:rsid w:val="00CF59A3"/>
    <w:rsid w:val="00D12CF4"/>
    <w:rsid w:val="00D854E4"/>
    <w:rsid w:val="00D959BD"/>
    <w:rsid w:val="00D968B7"/>
    <w:rsid w:val="00DA7D0A"/>
    <w:rsid w:val="00DC2394"/>
    <w:rsid w:val="00DC7585"/>
    <w:rsid w:val="00DD7638"/>
    <w:rsid w:val="00E14380"/>
    <w:rsid w:val="00E53FD0"/>
    <w:rsid w:val="00EE1462"/>
    <w:rsid w:val="00EE7921"/>
    <w:rsid w:val="00EF3CBF"/>
    <w:rsid w:val="00F2294E"/>
    <w:rsid w:val="00F250CB"/>
    <w:rsid w:val="00F33F44"/>
    <w:rsid w:val="00F44AE8"/>
    <w:rsid w:val="00FB2714"/>
    <w:rsid w:val="00FD3045"/>
    <w:rsid w:val="00FD34ED"/>
    <w:rsid w:val="00FF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CC8B9"/>
  <w15:docId w15:val="{236AA7D8-1141-47E1-A1D7-FCB96332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34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112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41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0"/>
      <w:ind w:left="20"/>
    </w:pPr>
    <w:rPr>
      <w:rFonts w:ascii="Arial" w:eastAsia="Arial" w:hAnsi="Arial" w:cs="Arial"/>
      <w:b/>
      <w:bCs/>
      <w:sz w:val="30"/>
      <w:szCs w:val="30"/>
    </w:rPr>
  </w:style>
  <w:style w:type="paragraph" w:styleId="PargrafodaLista">
    <w:name w:val="List Paragraph"/>
    <w:basedOn w:val="Normal"/>
    <w:uiPriority w:val="1"/>
    <w:qFormat/>
    <w:pPr>
      <w:ind w:left="232" w:firstLine="70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0C1C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qFormat/>
    <w:rsid w:val="000C1C2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C1C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C1C22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31487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148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60A5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rsid w:val="00FD304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38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380"/>
    <w:rPr>
      <w:rFonts w:ascii="Segoe UI" w:eastAsia="Arial MT" w:hAnsi="Segoe UI" w:cs="Segoe UI"/>
      <w:sz w:val="18"/>
      <w:szCs w:val="18"/>
      <w:lang w:val="pt-PT"/>
    </w:rPr>
  </w:style>
  <w:style w:type="character" w:styleId="Forte">
    <w:name w:val="Strong"/>
    <w:basedOn w:val="Fontepargpadro"/>
    <w:uiPriority w:val="22"/>
    <w:qFormat/>
    <w:rsid w:val="000C1688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12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41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5F56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1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01D74-0F14-4242-A69B-32ECFF141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1910</Words>
  <Characters>10319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Credenciamento</vt:lpstr>
    </vt:vector>
  </TitlesOfParts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Credenciamento</dc:title>
  <dc:creator>Eric Pettenan</dc:creator>
  <cp:lastModifiedBy>COMPRAS 02</cp:lastModifiedBy>
  <cp:revision>24</cp:revision>
  <cp:lastPrinted>2024-10-09T19:14:00Z</cp:lastPrinted>
  <dcterms:created xsi:type="dcterms:W3CDTF">2024-10-09T18:29:00Z</dcterms:created>
  <dcterms:modified xsi:type="dcterms:W3CDTF">2026-09-29T18:13:00Z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2024-01-17T00:00:00Z</vt:filetime>
  </property>
</Properties>
</file>