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9A1BE1" w14:textId="77777777" w:rsidR="00DB17F3" w:rsidRPr="005D5D23" w:rsidRDefault="00DB17F3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70728" w14:textId="3F6D3865" w:rsidR="00946011" w:rsidRPr="005D5D23" w:rsidRDefault="0028692C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b/>
          <w:sz w:val="24"/>
          <w:szCs w:val="24"/>
        </w:rPr>
        <w:t>ESTUDO TÉCNICO PRELIMINAR</w:t>
      </w:r>
      <w:bookmarkStart w:id="0" w:name="_GoBack"/>
      <w:bookmarkEnd w:id="0"/>
    </w:p>
    <w:p w14:paraId="1E5A35F7" w14:textId="2E4C8819" w:rsidR="00946011" w:rsidRPr="005D5D23" w:rsidRDefault="00946011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E0498" w14:textId="629E4C26" w:rsidR="00D008B8" w:rsidRPr="005D5D23" w:rsidRDefault="00D008B8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 xml:space="preserve">PROCESSO ADMINISTRATIVO </w:t>
      </w:r>
      <w:r w:rsidRPr="005D5D23">
        <w:rPr>
          <w:rFonts w:ascii="Times New Roman" w:hAnsi="Times New Roman" w:cs="Times New Roman"/>
          <w:sz w:val="24"/>
          <w:szCs w:val="24"/>
        </w:rPr>
        <w:t xml:space="preserve">Nº </w:t>
      </w:r>
      <w:r w:rsidR="00BC419D" w:rsidRPr="005D5D23">
        <w:rPr>
          <w:rFonts w:ascii="Times New Roman" w:hAnsi="Times New Roman" w:cs="Times New Roman"/>
          <w:sz w:val="24"/>
          <w:szCs w:val="24"/>
        </w:rPr>
        <w:t>00</w:t>
      </w:r>
      <w:r w:rsidR="00971677">
        <w:rPr>
          <w:rFonts w:ascii="Times New Roman" w:hAnsi="Times New Roman" w:cs="Times New Roman"/>
          <w:sz w:val="24"/>
          <w:szCs w:val="24"/>
        </w:rPr>
        <w:t>4</w:t>
      </w:r>
      <w:r w:rsidR="00BC419D" w:rsidRPr="005D5D23">
        <w:rPr>
          <w:rFonts w:ascii="Times New Roman" w:hAnsi="Times New Roman" w:cs="Times New Roman"/>
          <w:sz w:val="24"/>
          <w:szCs w:val="24"/>
        </w:rPr>
        <w:t>/2024</w:t>
      </w:r>
    </w:p>
    <w:p w14:paraId="02BD1339" w14:textId="64DC0B71" w:rsidR="00357F2C" w:rsidRPr="005D5D23" w:rsidRDefault="00357F2C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477F89" w:rsidRPr="005D5D23">
        <w:rPr>
          <w:rFonts w:ascii="Times New Roman" w:hAnsi="Times New Roman" w:cs="Times New Roman"/>
          <w:sz w:val="24"/>
          <w:szCs w:val="24"/>
        </w:rPr>
        <w:t>Porto Xavier</w:t>
      </w:r>
    </w:p>
    <w:p w14:paraId="6E016256" w14:textId="6C409246" w:rsidR="002664D0" w:rsidRPr="005D5D23" w:rsidRDefault="00357F2C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A0450F" w:rsidRPr="005D5D23">
        <w:rPr>
          <w:rFonts w:ascii="Times New Roman" w:hAnsi="Times New Roman" w:cs="Times New Roman"/>
          <w:sz w:val="24"/>
          <w:szCs w:val="24"/>
        </w:rPr>
        <w:t>Municipal de Assistência Social e Habitação</w:t>
      </w:r>
    </w:p>
    <w:p w14:paraId="098293E9" w14:textId="77777777" w:rsidR="00971677" w:rsidRPr="00E75D92" w:rsidRDefault="00AF43CC" w:rsidP="00971677">
      <w:pPr>
        <w:spacing w:line="276" w:lineRule="auto"/>
        <w:ind w:left="-5" w:right="15"/>
        <w:rPr>
          <w:rFonts w:ascii="Times New Roman" w:hAnsi="Times New Roman" w:cs="Times New Roman"/>
          <w:bCs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Necessi</w:t>
      </w:r>
      <w:r w:rsidR="006C6E29" w:rsidRPr="005D5D23">
        <w:rPr>
          <w:rFonts w:ascii="Times New Roman" w:hAnsi="Times New Roman" w:cs="Times New Roman"/>
          <w:sz w:val="24"/>
          <w:szCs w:val="24"/>
        </w:rPr>
        <w:t xml:space="preserve">dade da Administração: </w:t>
      </w:r>
      <w:r w:rsidR="00971677">
        <w:rPr>
          <w:rFonts w:ascii="Times New Roman" w:hAnsi="Times New Roman" w:cs="Times New Roman"/>
          <w:sz w:val="24"/>
          <w:szCs w:val="24"/>
        </w:rPr>
        <w:t xml:space="preserve">Registro de Preços para </w:t>
      </w:r>
      <w:r w:rsidR="00971677" w:rsidRPr="00E75D92">
        <w:rPr>
          <w:rFonts w:ascii="Times New Roman" w:hAnsi="Times New Roman" w:cs="Times New Roman"/>
          <w:sz w:val="24"/>
          <w:szCs w:val="24"/>
        </w:rPr>
        <w:t>Contratação de empresa para o fornecimento de marmitas</w:t>
      </w:r>
      <w:r w:rsidR="00971677">
        <w:rPr>
          <w:rFonts w:ascii="Times New Roman" w:hAnsi="Times New Roman" w:cs="Times New Roman"/>
          <w:sz w:val="24"/>
          <w:szCs w:val="24"/>
        </w:rPr>
        <w:t>.</w:t>
      </w:r>
    </w:p>
    <w:p w14:paraId="37A4DED9" w14:textId="7171081D" w:rsidR="009A25CA" w:rsidRPr="005D5D23" w:rsidRDefault="009A25CA" w:rsidP="00971677">
      <w:pPr>
        <w:autoSpaceDE w:val="0"/>
        <w:autoSpaceDN w:val="0"/>
        <w:adjustRightInd w:val="0"/>
        <w:rPr>
          <w:b/>
          <w:bCs/>
          <w:color w:val="000000"/>
        </w:rPr>
      </w:pPr>
    </w:p>
    <w:p w14:paraId="360E2227" w14:textId="77777777" w:rsidR="009A25CA" w:rsidRPr="005D5D23" w:rsidRDefault="009A25CA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330E6" w14:textId="234040C3" w:rsidR="00971677" w:rsidRPr="0075050B" w:rsidRDefault="00D008B8" w:rsidP="009716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DESCRIÇÃO DA NECESSIDADE</w:t>
      </w:r>
    </w:p>
    <w:p w14:paraId="78FF9183" w14:textId="7645C649" w:rsidR="005B38E7" w:rsidRDefault="0013169B" w:rsidP="003B0819">
      <w:pPr>
        <w:spacing w:line="276" w:lineRule="auto"/>
        <w:ind w:right="15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Constitui objeto deste Estudo Técnico Preliminar, </w:t>
      </w:r>
      <w:r w:rsidR="00971677" w:rsidRPr="00E75D92">
        <w:rPr>
          <w:rFonts w:ascii="Times New Roman" w:hAnsi="Times New Roman" w:cs="Times New Roman"/>
        </w:rPr>
        <w:t>Registro de Preços destinado</w:t>
      </w:r>
      <w:r w:rsidR="003B0819">
        <w:rPr>
          <w:rFonts w:ascii="Times New Roman" w:hAnsi="Times New Roman" w:cs="Times New Roman"/>
        </w:rPr>
        <w:t xml:space="preserve"> á</w:t>
      </w:r>
      <w:r w:rsidR="00971677" w:rsidRPr="00E75D92">
        <w:rPr>
          <w:rFonts w:ascii="Times New Roman" w:eastAsia="Arial" w:hAnsi="Times New Roman" w:cs="Times New Roman"/>
          <w:bCs/>
          <w:sz w:val="24"/>
          <w:szCs w:val="24"/>
        </w:rPr>
        <w:t xml:space="preserve"> contratação de empresa para fornecimento de </w:t>
      </w:r>
      <w:r w:rsidR="0097167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marmitas 1kg</w:t>
      </w:r>
      <w:r w:rsidR="00971677" w:rsidRPr="00E75D92">
        <w:rPr>
          <w:rFonts w:ascii="Times New Roman" w:eastAsia="Arial" w:hAnsi="Times New Roman" w:cs="Times New Roman"/>
          <w:bCs/>
          <w:sz w:val="24"/>
          <w:szCs w:val="24"/>
        </w:rPr>
        <w:t xml:space="preserve"> (aquisições parceladas)</w:t>
      </w:r>
      <w:r w:rsidR="005B38E7">
        <w:rPr>
          <w:rFonts w:ascii="Times New Roman" w:eastAsia="Arial" w:hAnsi="Times New Roman" w:cs="Times New Roman"/>
          <w:bCs/>
          <w:sz w:val="24"/>
          <w:szCs w:val="24"/>
        </w:rPr>
        <w:t xml:space="preserve"> visando garantir a continuidade </w:t>
      </w:r>
      <w:r w:rsidR="005B38E7" w:rsidRPr="00E75D92">
        <w:t xml:space="preserve">atividades que são </w:t>
      </w:r>
      <w:r w:rsidR="005B38E7" w:rsidRPr="005B38E7">
        <w:rPr>
          <w:rFonts w:ascii="Times New Roman" w:hAnsi="Times New Roman" w:cs="Times New Roman"/>
          <w:sz w:val="24"/>
          <w:szCs w:val="24"/>
        </w:rPr>
        <w:t>desenvolvidas no Centro de Referência Especializado de Assistência Social-CREAS, no Serviço de Convivência e Fortalecimento de Vínculos-SCFV, no Centro de Referência de Assistência Social-CRAS, bem como demais atividades da Secretaria Municipal de Assistência Social e Habitação</w:t>
      </w:r>
      <w:bookmarkStart w:id="1" w:name="_Hlk158186170"/>
      <w:r w:rsidR="005B38E7" w:rsidRPr="005B38E7">
        <w:rPr>
          <w:rFonts w:ascii="Times New Roman" w:hAnsi="Times New Roman" w:cs="Times New Roman"/>
          <w:sz w:val="24"/>
          <w:szCs w:val="24"/>
        </w:rPr>
        <w:t>, sempre que se faça necessário fornecimento de alimentação e</w:t>
      </w:r>
      <w:r w:rsidR="005B38E7">
        <w:rPr>
          <w:rFonts w:ascii="Times New Roman" w:hAnsi="Times New Roman" w:cs="Times New Roman"/>
          <w:sz w:val="24"/>
          <w:szCs w:val="24"/>
        </w:rPr>
        <w:t>, em situações que</w:t>
      </w:r>
      <w:r w:rsidR="005B38E7" w:rsidRPr="005B38E7">
        <w:rPr>
          <w:rFonts w:ascii="Times New Roman" w:hAnsi="Times New Roman" w:cs="Times New Roman"/>
          <w:sz w:val="24"/>
          <w:szCs w:val="24"/>
        </w:rPr>
        <w:t xml:space="preserve"> não seja viável </w:t>
      </w:r>
      <w:r w:rsidR="005B38E7">
        <w:rPr>
          <w:rFonts w:ascii="Times New Roman" w:hAnsi="Times New Roman" w:cs="Times New Roman"/>
          <w:sz w:val="24"/>
          <w:szCs w:val="24"/>
        </w:rPr>
        <w:t>o preparo</w:t>
      </w:r>
      <w:r w:rsidR="005B38E7" w:rsidRPr="005B38E7">
        <w:rPr>
          <w:rFonts w:ascii="Times New Roman" w:hAnsi="Times New Roman" w:cs="Times New Roman"/>
          <w:sz w:val="24"/>
          <w:szCs w:val="24"/>
        </w:rPr>
        <w:t xml:space="preserve"> d</w:t>
      </w:r>
      <w:r w:rsidR="005B38E7">
        <w:rPr>
          <w:rFonts w:ascii="Times New Roman" w:hAnsi="Times New Roman" w:cs="Times New Roman"/>
          <w:sz w:val="24"/>
          <w:szCs w:val="24"/>
        </w:rPr>
        <w:t xml:space="preserve">as refeições </w:t>
      </w:r>
      <w:r w:rsidR="005B38E7" w:rsidRPr="005B38E7">
        <w:rPr>
          <w:rFonts w:ascii="Times New Roman" w:hAnsi="Times New Roman" w:cs="Times New Roman"/>
          <w:sz w:val="24"/>
          <w:szCs w:val="24"/>
        </w:rPr>
        <w:t xml:space="preserve"> na Secretaria</w:t>
      </w:r>
      <w:r w:rsidR="005B38E7">
        <w:t>.</w:t>
      </w:r>
      <w:r w:rsidR="005B38E7" w:rsidRPr="00E75D92">
        <w:t xml:space="preserve"> </w:t>
      </w:r>
      <w:bookmarkEnd w:id="1"/>
    </w:p>
    <w:p w14:paraId="0B912D2A" w14:textId="4CAF06D4" w:rsidR="00282B1F" w:rsidRPr="005D5D23" w:rsidRDefault="00282B1F" w:rsidP="003B08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A Secretaria Municipal de Assistência Social e Habitação de Porto Xavier, é o Órgão Gestor da Política Municipal de Assistência Social e do Sistema Único de Assistência Social- SUAS, instituído pela Lei Federal n° 8742/93) Lei Orgânica de Assistência Social – LOAS, consolidada pela Lei Federal n° 12.435/11 e pela Lei Municipal nº 2.626/2017. </w:t>
      </w:r>
    </w:p>
    <w:p w14:paraId="35CC78D9" w14:textId="248D4BB5" w:rsidR="00E476EA" w:rsidRPr="005D5D23" w:rsidRDefault="006B3335" w:rsidP="003B081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  <w:lang w:eastAsia="pt-BR"/>
        </w:rPr>
        <w:t xml:space="preserve">Compõe a estrutura da Secretaria de Assistência Social, outros programas e equipamentos socioassistenciais que são responsáveis pela oferta de programas, projetos, serviços e benefícios socioassistenciais à população em situação de vulnerabilidade e risco pessoal e/ou social. Dentre estes: CRAS – unidade pública responsável pela proteção social básica da Assistência Social, e viabilizador de acesso aos direitos socioassistenciais à população. Sua atuação busca prevenir situações de vulnerabilidade e risco social, bem como identificam e estimulam as potencialidades locais, modificando a qualidade de vida das famílias que vivem nas localidades; CREAS - configura-se como uma unidade pública e estatal, que oferta serviços especializados e continuados a famílias e indivíduos em situação de ameaça ou violação de direitos (violência física, psicológica, sexual, tráfico de pessoas, cumprimento de medidas socioeducativas em meio aberto, etc.). A oferta de atenção especializada e continuada deve ter como foco a família e a situação vivenciada. Essa atenção especializada tem como foco o acesso da família a direitos socioassistenciais, por meio da potencialização de recursos e capacidade de proteção; </w:t>
      </w:r>
    </w:p>
    <w:p w14:paraId="7A22C634" w14:textId="0181049E" w:rsidR="00D1129E" w:rsidRPr="005D5D23" w:rsidRDefault="00D1129E" w:rsidP="00E476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O fornecimento será efetuado durante a vigência da Ata de Registro de Preços, sempre que solicitado pela Coordenadoria de Material e Logística/Setor de Almoxarifado, nos prazos, local e horário especificados no presente estudo preliminar.</w:t>
      </w:r>
    </w:p>
    <w:p w14:paraId="10DF83BC" w14:textId="69CD7BCA" w:rsidR="00D008B8" w:rsidRPr="005D5D23" w:rsidRDefault="00D008B8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F2F1" w14:textId="0C830FE8" w:rsidR="00D008B8" w:rsidRPr="005D5D23" w:rsidRDefault="00825E4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10A7D" w:rsidRPr="005D5D23">
        <w:rPr>
          <w:rFonts w:ascii="Times New Roman" w:hAnsi="Times New Roman" w:cs="Times New Roman"/>
          <w:b/>
          <w:bCs/>
          <w:sz w:val="24"/>
          <w:szCs w:val="24"/>
        </w:rPr>
        <w:t>ALINHAMENTO ENTRE A CONTRATAÇÃO E O PLANEJAMENTO</w:t>
      </w:r>
    </w:p>
    <w:p w14:paraId="3DD7A5E5" w14:textId="73012D10" w:rsidR="00131824" w:rsidRDefault="00825E47" w:rsidP="009E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lastRenderedPageBreak/>
        <w:t>A contratação pretendida</w:t>
      </w:r>
      <w:r w:rsidR="002F2C0F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="00D31BAD" w:rsidRPr="005D5D23">
        <w:rPr>
          <w:rFonts w:ascii="Times New Roman" w:hAnsi="Times New Roman" w:cs="Times New Roman"/>
          <w:sz w:val="24"/>
          <w:szCs w:val="24"/>
        </w:rPr>
        <w:t>est</w:t>
      </w:r>
      <w:r w:rsidR="00E476EA" w:rsidRPr="005D5D23">
        <w:rPr>
          <w:rFonts w:ascii="Times New Roman" w:hAnsi="Times New Roman" w:cs="Times New Roman"/>
          <w:sz w:val="24"/>
          <w:szCs w:val="24"/>
        </w:rPr>
        <w:t>á</w:t>
      </w:r>
      <w:r w:rsidR="00D31BAD" w:rsidRPr="005D5D23">
        <w:rPr>
          <w:rFonts w:ascii="Times New Roman" w:hAnsi="Times New Roman" w:cs="Times New Roman"/>
          <w:sz w:val="24"/>
          <w:szCs w:val="24"/>
        </w:rPr>
        <w:t xml:space="preserve"> prevista no Plano de Contratações Anual do Município de</w:t>
      </w:r>
      <w:r w:rsidR="002664D0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="00654A52" w:rsidRPr="005D5D23">
        <w:rPr>
          <w:rFonts w:ascii="Times New Roman" w:hAnsi="Times New Roman" w:cs="Times New Roman"/>
          <w:sz w:val="24"/>
          <w:szCs w:val="24"/>
        </w:rPr>
        <w:t>Porto Xavier</w:t>
      </w:r>
      <w:r w:rsidR="00E476EA" w:rsidRPr="005D5D23">
        <w:rPr>
          <w:rFonts w:ascii="Times New Roman" w:hAnsi="Times New Roman" w:cs="Times New Roman"/>
          <w:sz w:val="24"/>
          <w:szCs w:val="24"/>
        </w:rPr>
        <w:t xml:space="preserve"> RS.</w:t>
      </w:r>
    </w:p>
    <w:p w14:paraId="15A53773" w14:textId="77777777" w:rsidR="00693C81" w:rsidRPr="0075050B" w:rsidRDefault="00693C81" w:rsidP="009E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B4778" w14:textId="744E1961" w:rsidR="00693C81" w:rsidRPr="001451F3" w:rsidRDefault="009E2AFD" w:rsidP="001451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1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0923" w:rsidRPr="001451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1BAD" w:rsidRPr="001451F3">
        <w:rPr>
          <w:rFonts w:ascii="Times New Roman" w:hAnsi="Times New Roman" w:cs="Times New Roman"/>
          <w:b/>
          <w:bCs/>
          <w:sz w:val="24"/>
          <w:szCs w:val="24"/>
        </w:rPr>
        <w:t>DESCRIÇÃO DOS REQUISITOS DA CONTRATAÇÃO</w:t>
      </w:r>
      <w:bookmarkStart w:id="2" w:name="_Hlk156985296"/>
    </w:p>
    <w:p w14:paraId="2D61CD62" w14:textId="751A7F87" w:rsidR="00AA57AE" w:rsidRPr="00251B2F" w:rsidRDefault="00AA57AE" w:rsidP="00AA57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>O licitante deve proporcionar entrega das marmitas, para atender as necessidades da SECRETARIA, conforme condições, quantidades, exigências e estimativas a serem estabelecidas neste instrumento e também estabelecidas no Termo de Referência, de forma PARCELADA</w:t>
      </w:r>
    </w:p>
    <w:p w14:paraId="1C10E67F" w14:textId="77777777" w:rsidR="00AA57AE" w:rsidRPr="00251B2F" w:rsidRDefault="00AA57AE" w:rsidP="00AA57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 xml:space="preserve">A contratação será realizada por meio de </w:t>
      </w:r>
      <w:bookmarkStart w:id="3" w:name="_Hlk157090585"/>
      <w:r w:rsidRPr="00251B2F">
        <w:rPr>
          <w:rFonts w:ascii="Times New Roman" w:hAnsi="Times New Roman" w:cs="Times New Roman"/>
          <w:sz w:val="24"/>
          <w:szCs w:val="24"/>
        </w:rPr>
        <w:t>licitação, na modalidade Pregão, na sua forma Eletrônica com critério de julgamento por menor preço, nos termos dos artigos 6º, inciso XLI, 17, § 2º, e 34, todos da Lei Federal nº 14.133/2021.</w:t>
      </w:r>
      <w:bookmarkEnd w:id="3"/>
    </w:p>
    <w:p w14:paraId="4F674AF6" w14:textId="77777777" w:rsidR="00AA57AE" w:rsidRPr="00251B2F" w:rsidRDefault="00AA57AE" w:rsidP="00AA57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>Para fornecimento/prestação dos serviços pretendidos os eventuais interessados deverão comprovar que atuam em ramo de atividade compatível com o objeto da licitação, bem como apresentar os seguintes documentos a título habilitação, nos termos do art. 62 da Lei Federal nº 14.133/2021.</w:t>
      </w:r>
    </w:p>
    <w:p w14:paraId="48B39B61" w14:textId="77777777" w:rsidR="00AA57AE" w:rsidRPr="00251B2F" w:rsidRDefault="00AA57AE" w:rsidP="00AA57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 xml:space="preserve">A CONTRATADA deve cumprir todas as obrigações constantes no Termo de Referência, seus anexos e sua proposta, assumindo como exclusivamente seus os riscos e as despesas decorrentes da boa e perfeita execução do objeto e, ainda: </w:t>
      </w:r>
    </w:p>
    <w:p w14:paraId="2D5CB42D" w14:textId="77777777" w:rsidR="00AA57AE" w:rsidRPr="00251B2F" w:rsidRDefault="00AA57AE" w:rsidP="00AA57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 xml:space="preserve"> Efetuar a entrega do objeto em perfeitas condições, conforme especificações, prazo e local constantes neste Termo de Referência e seus anexos.</w:t>
      </w:r>
    </w:p>
    <w:p w14:paraId="5878F751" w14:textId="77777777" w:rsidR="00AA57AE" w:rsidRDefault="00AA57AE" w:rsidP="00AA57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 xml:space="preserve">Considerando ser o fornecimento de alimentos processados e que devem estar aquecidos ainda na entrega, esta Administração entende que, é extremamente necessário para fins de contratação; as empresas vencedoras do certame, ser um fornecedor local, conforme justificativa de entrega e ser perecível.  </w:t>
      </w:r>
    </w:p>
    <w:p w14:paraId="0ADDF6F7" w14:textId="00582984" w:rsidR="00693C81" w:rsidRPr="00693C81" w:rsidRDefault="00693C81" w:rsidP="00AA57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C81">
        <w:rPr>
          <w:rFonts w:ascii="Times New Roman" w:hAnsi="Times New Roman" w:cs="Times New Roman"/>
          <w:sz w:val="24"/>
          <w:szCs w:val="24"/>
        </w:rPr>
        <w:t xml:space="preserve">A contratada deverá fornecer as marmitas junto a Secretaria Municipal de Assistência Social e Habitação; Rua Independência 267, no horário das 11h30min ás 12h00min conforme pedido realizado pelo coordenador de cada serviço; almoços servidos em marmitex de isopor com tampa e com capacidade </w:t>
      </w:r>
      <w:r w:rsidRPr="00693C81">
        <w:rPr>
          <w:rFonts w:ascii="Times New Roman" w:hAnsi="Times New Roman" w:cs="Times New Roman"/>
          <w:color w:val="000000"/>
          <w:sz w:val="24"/>
          <w:szCs w:val="24"/>
        </w:rPr>
        <w:t>mínima de 1kg</w:t>
      </w:r>
      <w:r w:rsidRPr="00693C81">
        <w:rPr>
          <w:rFonts w:ascii="Times New Roman" w:hAnsi="Times New Roman" w:cs="Times New Roman"/>
          <w:sz w:val="24"/>
          <w:szCs w:val="24"/>
        </w:rPr>
        <w:t>, descartável e embalado separadamente</w:t>
      </w:r>
    </w:p>
    <w:p w14:paraId="353E5AF1" w14:textId="37FA996B" w:rsidR="00AA57AE" w:rsidRPr="00693C81" w:rsidRDefault="00AA57AE" w:rsidP="00693C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C81">
        <w:rPr>
          <w:rFonts w:ascii="Times New Roman" w:hAnsi="Times New Roman" w:cs="Times New Roman"/>
          <w:sz w:val="24"/>
          <w:szCs w:val="24"/>
        </w:rPr>
        <w:t>Os riscos</w:t>
      </w:r>
      <w:r w:rsidRPr="00251B2F">
        <w:rPr>
          <w:rFonts w:ascii="Times New Roman" w:hAnsi="Times New Roman" w:cs="Times New Roman"/>
          <w:sz w:val="24"/>
          <w:szCs w:val="24"/>
        </w:rPr>
        <w:t xml:space="preserve"> de impactos ocasionados devido a produção nas indústrias, as empresas deverão atentar para as práticas de mitigação dos impactos na produção, em como as lei e Resoluções que orientam a produção sustentável dessas atividades.</w:t>
      </w:r>
    </w:p>
    <w:bookmarkEnd w:id="2"/>
    <w:p w14:paraId="53515F06" w14:textId="71D12434" w:rsidR="0013169B" w:rsidRPr="00693C81" w:rsidRDefault="001D7CD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C81">
        <w:rPr>
          <w:rFonts w:ascii="Times New Roman" w:hAnsi="Times New Roman" w:cs="Times New Roman"/>
          <w:sz w:val="24"/>
          <w:szCs w:val="24"/>
        </w:rPr>
        <w:t xml:space="preserve">Poderão participar deste Pregão interessados cujo ramo de atividade seja compatível com o objeto desta licitação. Será concedido tratamento favorecido para as microempresas e </w:t>
      </w:r>
      <w:r w:rsidR="00EC6AAD" w:rsidRPr="00693C81">
        <w:rPr>
          <w:rFonts w:ascii="Times New Roman" w:hAnsi="Times New Roman" w:cs="Times New Roman"/>
          <w:sz w:val="24"/>
          <w:szCs w:val="24"/>
        </w:rPr>
        <w:t>empresas de comercio</w:t>
      </w:r>
      <w:r w:rsidRPr="00693C81">
        <w:rPr>
          <w:rFonts w:ascii="Times New Roman" w:hAnsi="Times New Roman" w:cs="Times New Roman"/>
          <w:sz w:val="24"/>
          <w:szCs w:val="24"/>
        </w:rPr>
        <w:t xml:space="preserve"> local</w:t>
      </w:r>
      <w:r w:rsidR="00866632" w:rsidRPr="00693C81">
        <w:rPr>
          <w:rFonts w:ascii="Times New Roman" w:hAnsi="Times New Roman" w:cs="Times New Roman"/>
          <w:sz w:val="24"/>
          <w:szCs w:val="24"/>
        </w:rPr>
        <w:t>.</w:t>
      </w:r>
    </w:p>
    <w:p w14:paraId="2073D6FD" w14:textId="77777777" w:rsidR="001451F3" w:rsidRPr="001451F3" w:rsidRDefault="001451F3" w:rsidP="001451F3">
      <w:pPr>
        <w:ind w:left="-5" w:right="10"/>
        <w:rPr>
          <w:rFonts w:ascii="Times New Roman" w:hAnsi="Times New Roman" w:cs="Times New Roman"/>
          <w:sz w:val="24"/>
          <w:szCs w:val="24"/>
        </w:rPr>
      </w:pPr>
      <w:r w:rsidRPr="001451F3">
        <w:rPr>
          <w:rFonts w:ascii="Times New Roman" w:hAnsi="Times New Roman" w:cs="Times New Roman"/>
          <w:sz w:val="24"/>
          <w:szCs w:val="24"/>
        </w:rPr>
        <w:t xml:space="preserve">Apresentação e aprovação das Amostras das marmitas, das Certidões negativas de Débitos e entre outros que se julgarem necessários.    </w:t>
      </w:r>
    </w:p>
    <w:p w14:paraId="170B6355" w14:textId="390B7A08" w:rsidR="001451F3" w:rsidRPr="001451F3" w:rsidRDefault="001451F3" w:rsidP="001451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F3">
        <w:rPr>
          <w:rFonts w:ascii="Times New Roman" w:hAnsi="Times New Roman" w:cs="Times New Roman"/>
          <w:sz w:val="24"/>
          <w:szCs w:val="24"/>
        </w:rPr>
        <w:t xml:space="preserve">As amostras poderão ser entregues na Secretária de Assistência Social </w:t>
      </w:r>
      <w:r w:rsidRPr="001451F3">
        <w:rPr>
          <w:rFonts w:ascii="Times New Roman" w:eastAsia="Arial" w:hAnsi="Times New Roman" w:cs="Times New Roman"/>
          <w:sz w:val="24"/>
          <w:szCs w:val="24"/>
        </w:rPr>
        <w:t>–</w:t>
      </w:r>
      <w:r w:rsidRPr="001451F3">
        <w:rPr>
          <w:rFonts w:ascii="Times New Roman" w:hAnsi="Times New Roman" w:cs="Times New Roman"/>
          <w:sz w:val="24"/>
          <w:szCs w:val="24"/>
        </w:rPr>
        <w:t xml:space="preserve"> qual serão analisadas pela Nutricionista e encaminhado informações sobre o analise ao setor de licitações, no prazo limite de 48 horas, sendo que a empresa assume total responsabilidade pelo envio e por eventual atraso na entrega. É facultada prorrogação o prazo estabelecido, a partir de solicitação fundamentada pelo interessado, antes de findo o prazo. No caso de não haver entrega da amostra ou ocorrer atraso na entrega, sem justificativa aceita, ou havendo entrega de amostra fora das especificações previstas, a proposta será recusada. Serão avaliados os seguintes aspectos e padrões mínimos de aceitabilidade, para cada item. Todos os itens devem ser aprovados pela Nutricionista. Os resultados das avaliações </w:t>
      </w:r>
      <w:r w:rsidRPr="001451F3">
        <w:rPr>
          <w:rFonts w:ascii="Times New Roman" w:hAnsi="Times New Roman" w:cs="Times New Roman"/>
          <w:sz w:val="24"/>
          <w:szCs w:val="24"/>
        </w:rPr>
        <w:lastRenderedPageBreak/>
        <w:t>serão enviados, por escrito, ao setor de licitações. Se a(s) amostra(s) apresentada(s) pelo primeiro classificado não for(em) aceita(s), será analisada a aceitabilidade da proposta ou lance ofertado pelo segundo classificado. Seguir-se-á com a verificação da(s) amostra(s) e, assim, sucessivamente, até a verificação de uma que atenda às especificações constantes neste Termo de Referência. As marmitas entregues como amostras terão a destinação correta pela nutricionista sem causar futura cobrança pela empresa que fez a entrega da amostra, por se tratar de produto perecível</w:t>
      </w:r>
    </w:p>
    <w:p w14:paraId="26EE7621" w14:textId="77777777" w:rsidR="00131824" w:rsidRPr="005D5D23" w:rsidRDefault="00131824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A431" w14:textId="7D041785" w:rsidR="00131824" w:rsidRPr="005D5D23" w:rsidRDefault="00EB0EA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4. ESTIMATIVA DAS QUANTIDADES</w:t>
      </w:r>
    </w:p>
    <w:p w14:paraId="29D726C3" w14:textId="214790CA" w:rsidR="00A7152C" w:rsidRPr="005D5D23" w:rsidRDefault="002F26B5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O</w:t>
      </w:r>
      <w:r w:rsidR="009D1080" w:rsidRPr="005D5D23">
        <w:rPr>
          <w:rFonts w:ascii="Times New Roman" w:hAnsi="Times New Roman" w:cs="Times New Roman"/>
          <w:sz w:val="24"/>
          <w:szCs w:val="24"/>
        </w:rPr>
        <w:t>s</w:t>
      </w:r>
      <w:r w:rsidR="00EB0EA8" w:rsidRPr="005D5D23">
        <w:rPr>
          <w:rFonts w:ascii="Times New Roman" w:hAnsi="Times New Roman" w:cs="Times New Roman"/>
          <w:sz w:val="24"/>
          <w:szCs w:val="24"/>
        </w:rPr>
        <w:t xml:space="preserve"> quantitativo</w:t>
      </w:r>
      <w:r w:rsidR="009D1080" w:rsidRPr="005D5D23">
        <w:rPr>
          <w:rFonts w:ascii="Times New Roman" w:hAnsi="Times New Roman" w:cs="Times New Roman"/>
          <w:sz w:val="24"/>
          <w:szCs w:val="24"/>
        </w:rPr>
        <w:t>s</w:t>
      </w:r>
      <w:r w:rsidR="00EB0EA8" w:rsidRPr="005D5D23">
        <w:rPr>
          <w:rFonts w:ascii="Times New Roman" w:hAnsi="Times New Roman" w:cs="Times New Roman"/>
          <w:sz w:val="24"/>
          <w:szCs w:val="24"/>
        </w:rPr>
        <w:t xml:space="preserve"> es</w:t>
      </w:r>
      <w:r w:rsidRPr="005D5D23">
        <w:rPr>
          <w:rFonts w:ascii="Times New Roman" w:hAnsi="Times New Roman" w:cs="Times New Roman"/>
          <w:sz w:val="24"/>
          <w:szCs w:val="24"/>
        </w:rPr>
        <w:t>timado</w:t>
      </w:r>
      <w:r w:rsidR="009D1080" w:rsidRPr="005D5D23">
        <w:rPr>
          <w:rFonts w:ascii="Times New Roman" w:hAnsi="Times New Roman" w:cs="Times New Roman"/>
          <w:sz w:val="24"/>
          <w:szCs w:val="24"/>
        </w:rPr>
        <w:t>s</w:t>
      </w:r>
      <w:r w:rsidRPr="005D5D23">
        <w:rPr>
          <w:rFonts w:ascii="Times New Roman" w:hAnsi="Times New Roman" w:cs="Times New Roman"/>
          <w:sz w:val="24"/>
          <w:szCs w:val="24"/>
        </w:rPr>
        <w:t xml:space="preserve"> para a contratação pretendida t</w:t>
      </w:r>
      <w:r w:rsidR="009D1080" w:rsidRPr="005D5D23">
        <w:rPr>
          <w:rFonts w:ascii="Times New Roman" w:hAnsi="Times New Roman" w:cs="Times New Roman"/>
          <w:sz w:val="24"/>
          <w:szCs w:val="24"/>
        </w:rPr>
        <w:t>ê</w:t>
      </w:r>
      <w:r w:rsidRPr="005D5D23">
        <w:rPr>
          <w:rFonts w:ascii="Times New Roman" w:hAnsi="Times New Roman" w:cs="Times New Roman"/>
          <w:sz w:val="24"/>
          <w:szCs w:val="24"/>
        </w:rPr>
        <w:t>m como parâmetro a</w:t>
      </w:r>
      <w:r w:rsidR="009D1080" w:rsidRPr="005D5D23">
        <w:rPr>
          <w:rFonts w:ascii="Times New Roman" w:hAnsi="Times New Roman" w:cs="Times New Roman"/>
          <w:sz w:val="24"/>
          <w:szCs w:val="24"/>
        </w:rPr>
        <w:t>s</w:t>
      </w:r>
      <w:r w:rsidRPr="005D5D23">
        <w:rPr>
          <w:rFonts w:ascii="Times New Roman" w:hAnsi="Times New Roman" w:cs="Times New Roman"/>
          <w:sz w:val="24"/>
          <w:szCs w:val="24"/>
        </w:rPr>
        <w:t xml:space="preserve"> última</w:t>
      </w:r>
      <w:r w:rsidR="009D1080" w:rsidRPr="005D5D23">
        <w:rPr>
          <w:rFonts w:ascii="Times New Roman" w:hAnsi="Times New Roman" w:cs="Times New Roman"/>
          <w:sz w:val="24"/>
          <w:szCs w:val="24"/>
        </w:rPr>
        <w:t>s</w:t>
      </w:r>
      <w:r w:rsidRPr="005D5D23">
        <w:rPr>
          <w:rFonts w:ascii="Times New Roman" w:hAnsi="Times New Roman" w:cs="Times New Roman"/>
          <w:sz w:val="24"/>
          <w:szCs w:val="24"/>
        </w:rPr>
        <w:t xml:space="preserve"> contrat</w:t>
      </w:r>
      <w:r w:rsidR="009D1080" w:rsidRPr="005D5D23">
        <w:rPr>
          <w:rFonts w:ascii="Times New Roman" w:hAnsi="Times New Roman" w:cs="Times New Roman"/>
          <w:sz w:val="24"/>
          <w:szCs w:val="24"/>
        </w:rPr>
        <w:t>ações</w:t>
      </w:r>
      <w:r w:rsidRPr="005D5D23">
        <w:rPr>
          <w:rFonts w:ascii="Times New Roman" w:hAnsi="Times New Roman" w:cs="Times New Roman"/>
          <w:sz w:val="24"/>
          <w:szCs w:val="24"/>
        </w:rPr>
        <w:t xml:space="preserve"> com o mesmo objeto</w:t>
      </w:r>
      <w:r w:rsidR="00E40AD7" w:rsidRPr="005D5D23">
        <w:rPr>
          <w:rFonts w:ascii="Times New Roman" w:hAnsi="Times New Roman" w:cs="Times New Roman"/>
          <w:sz w:val="24"/>
          <w:szCs w:val="24"/>
        </w:rPr>
        <w:t>, realizadas por esta Administração</w:t>
      </w:r>
      <w:r w:rsidR="003636B0" w:rsidRPr="005D5D23">
        <w:rPr>
          <w:rFonts w:ascii="Times New Roman" w:hAnsi="Times New Roman" w:cs="Times New Roman"/>
          <w:sz w:val="24"/>
          <w:szCs w:val="24"/>
        </w:rPr>
        <w:t>. Neste sentido, seg</w:t>
      </w:r>
      <w:r w:rsidRPr="005D5D23">
        <w:rPr>
          <w:rFonts w:ascii="Times New Roman" w:hAnsi="Times New Roman" w:cs="Times New Roman"/>
          <w:sz w:val="24"/>
          <w:szCs w:val="24"/>
        </w:rPr>
        <w:t xml:space="preserve">ue </w:t>
      </w:r>
      <w:r w:rsidR="006B3335" w:rsidRPr="005D5D23">
        <w:rPr>
          <w:rFonts w:ascii="Times New Roman" w:hAnsi="Times New Roman" w:cs="Times New Roman"/>
          <w:sz w:val="24"/>
          <w:szCs w:val="24"/>
        </w:rPr>
        <w:t xml:space="preserve">em anexo </w:t>
      </w:r>
      <w:r w:rsidRPr="005D5D23">
        <w:rPr>
          <w:rFonts w:ascii="Times New Roman" w:hAnsi="Times New Roman" w:cs="Times New Roman"/>
          <w:sz w:val="24"/>
          <w:szCs w:val="24"/>
        </w:rPr>
        <w:t>memória de cálculo: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338"/>
        <w:gridCol w:w="1652"/>
      </w:tblGrid>
      <w:tr w:rsidR="00971677" w14:paraId="1F15F729" w14:textId="77777777" w:rsidTr="00971677">
        <w:tc>
          <w:tcPr>
            <w:tcW w:w="1496" w:type="dxa"/>
            <w:shd w:val="clear" w:color="auto" w:fill="auto"/>
          </w:tcPr>
          <w:p w14:paraId="61DBECCA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6338" w:type="dxa"/>
            <w:shd w:val="clear" w:color="auto" w:fill="auto"/>
          </w:tcPr>
          <w:p w14:paraId="4D17DA2C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652" w:type="dxa"/>
            <w:shd w:val="clear" w:color="auto" w:fill="auto"/>
          </w:tcPr>
          <w:p w14:paraId="2719AD31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QUANTIDADE</w:t>
            </w:r>
          </w:p>
        </w:tc>
      </w:tr>
      <w:tr w:rsidR="00971677" w14:paraId="53C02A1A" w14:textId="77777777" w:rsidTr="00971677">
        <w:tc>
          <w:tcPr>
            <w:tcW w:w="1496" w:type="dxa"/>
            <w:shd w:val="clear" w:color="auto" w:fill="auto"/>
          </w:tcPr>
          <w:p w14:paraId="28B7A8E0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001.</w:t>
            </w:r>
          </w:p>
        </w:tc>
        <w:tc>
          <w:tcPr>
            <w:tcW w:w="6338" w:type="dxa"/>
            <w:shd w:val="clear" w:color="auto" w:fill="auto"/>
          </w:tcPr>
          <w:p w14:paraId="28D67012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sz w:val="21"/>
                <w:szCs w:val="21"/>
              </w:rPr>
            </w:pPr>
            <w:r>
              <w:t xml:space="preserve">Registro de Preços para Possível Aquisição de Marmitas. </w:t>
            </w:r>
            <w:r>
              <w:rPr>
                <w:color w:val="000000"/>
              </w:rPr>
              <w:t xml:space="preserve">As marmitas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>
              <w:t>A empresa vencedora deverá efetuar a entrega das marmitas no local e horário indicado pela secretaria.</w:t>
            </w:r>
          </w:p>
        </w:tc>
        <w:tc>
          <w:tcPr>
            <w:tcW w:w="1652" w:type="dxa"/>
            <w:shd w:val="clear" w:color="auto" w:fill="auto"/>
          </w:tcPr>
          <w:p w14:paraId="45961C15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  <w:p w14:paraId="2AC03EA7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  <w:p w14:paraId="2C304B29" w14:textId="77777777" w:rsidR="00971677" w:rsidRDefault="00971677" w:rsidP="00226267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 UND</w:t>
            </w:r>
          </w:p>
        </w:tc>
      </w:tr>
    </w:tbl>
    <w:p w14:paraId="2EB808AD" w14:textId="77777777" w:rsidR="00971677" w:rsidRPr="005D5D23" w:rsidRDefault="00971677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F8418" w14:textId="52530070" w:rsidR="00131824" w:rsidRPr="005D5D23" w:rsidRDefault="00131824" w:rsidP="001318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Acrescente-se que as quantidades informadas, possuem caráter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>generalista, pois partimos da máxima que fica a livre escolha da Administração, a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>necessidade conforme as demandas.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>Pontue-se que o quantitativo estimado nessa aquisição implicará ganho de escala,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>porque quanto maior as quantidades de aquisições a serem cotados, melhor será o seu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>valor final, beneficiando a Administração Pública, considerando-se, ainda, que somente se</w:t>
      </w:r>
      <w:r w:rsidR="008D0CF8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Pr="005D5D23">
        <w:rPr>
          <w:rFonts w:ascii="Times New Roman" w:hAnsi="Times New Roman" w:cs="Times New Roman"/>
          <w:sz w:val="24"/>
          <w:szCs w:val="24"/>
        </w:rPr>
        <w:t xml:space="preserve">empenhará a quantidade de </w:t>
      </w:r>
      <w:r w:rsidR="008D0CF8" w:rsidRPr="005D5D23">
        <w:rPr>
          <w:rFonts w:ascii="Times New Roman" w:hAnsi="Times New Roman" w:cs="Times New Roman"/>
          <w:sz w:val="24"/>
          <w:szCs w:val="24"/>
        </w:rPr>
        <w:t>materiais</w:t>
      </w:r>
      <w:r w:rsidRPr="005D5D23">
        <w:rPr>
          <w:rFonts w:ascii="Times New Roman" w:hAnsi="Times New Roman" w:cs="Times New Roman"/>
          <w:sz w:val="24"/>
          <w:szCs w:val="24"/>
        </w:rPr>
        <w:t xml:space="preserve"> a serem contratados</w:t>
      </w:r>
    </w:p>
    <w:p w14:paraId="466677D8" w14:textId="77777777" w:rsidR="008D0CF8" w:rsidRPr="005D5D23" w:rsidRDefault="008D0CF8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21514" w14:textId="16B87DB4" w:rsidR="00E40AD7" w:rsidRPr="005D5D23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5. ALTERNATIVAS DISPONÍVEIS NO MERCADO</w:t>
      </w:r>
    </w:p>
    <w:p w14:paraId="6AAF7141" w14:textId="018BA754" w:rsidR="002D2436" w:rsidRPr="005D5D23" w:rsidRDefault="002D2436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Diante das necessidades apontadas neste estudo, o atendimento à solução exige a contratação de empresa especializada cujo o ramo de atividade seja compatível com o objeto pretendido. Foram analisadas contratações similares feitas por outros órgãos e entidades, por meio de consultas a outros editais, com objetivo de identificar a existência de novas metodologias, tecnologias ou inovações que melhor atendessem às necessidades da municipalidade. Não se observou maiores variações quanto à execução do objeto no que se refere ao papel da empresa a qual se pretende contratar. Assim, a variação se dá pela modalidade de licitação aplicada a cada caso, a depender da permissibilidade normativa. Logo, a aquisição d</w:t>
      </w:r>
      <w:r w:rsidR="008D0CF8" w:rsidRPr="005D5D23">
        <w:rPr>
          <w:rFonts w:ascii="Times New Roman" w:hAnsi="Times New Roman" w:cs="Times New Roman"/>
          <w:sz w:val="24"/>
          <w:szCs w:val="24"/>
        </w:rPr>
        <w:t>e materiais e aviamentos,</w:t>
      </w:r>
      <w:r w:rsidRPr="005D5D23">
        <w:rPr>
          <w:rFonts w:ascii="Times New Roman" w:hAnsi="Times New Roman" w:cs="Times New Roman"/>
          <w:sz w:val="24"/>
          <w:szCs w:val="24"/>
        </w:rPr>
        <w:t xml:space="preserve"> objeto do presente Estudo </w:t>
      </w:r>
      <w:r w:rsidRPr="005D5D23">
        <w:rPr>
          <w:rFonts w:ascii="Times New Roman" w:hAnsi="Times New Roman" w:cs="Times New Roman"/>
          <w:sz w:val="24"/>
          <w:szCs w:val="24"/>
        </w:rPr>
        <w:lastRenderedPageBreak/>
        <w:t>Técnico Preliminar se constitui, no atual cenário, em objeto de frequente aquisição por órgãos públicos, em todas as suas esferas.</w:t>
      </w:r>
    </w:p>
    <w:p w14:paraId="133981D9" w14:textId="7532C5DF" w:rsidR="003636B0" w:rsidRPr="005D5D23" w:rsidRDefault="003636B0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EECBE" w14:textId="549106FD" w:rsidR="00E40AD7" w:rsidRPr="005D5D23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6. ESTIMATIVA DO VALOR DA CONTRATAÇÃO</w:t>
      </w:r>
    </w:p>
    <w:p w14:paraId="54B9E59B" w14:textId="1A99B296" w:rsidR="00A10C77" w:rsidRPr="005D5D23" w:rsidRDefault="00A10C77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Estima-se para a contratação almejada o valor total de R$</w:t>
      </w:r>
      <w:r w:rsidR="005D5D23" w:rsidRPr="005D5D23">
        <w:rPr>
          <w:rFonts w:ascii="Times New Roman" w:hAnsi="Times New Roman" w:cs="Times New Roman"/>
          <w:sz w:val="24"/>
          <w:szCs w:val="24"/>
        </w:rPr>
        <w:t xml:space="preserve"> </w:t>
      </w:r>
      <w:r w:rsidR="00971677">
        <w:rPr>
          <w:rFonts w:ascii="Times New Roman" w:hAnsi="Times New Roman" w:cs="Times New Roman"/>
          <w:sz w:val="24"/>
          <w:szCs w:val="24"/>
        </w:rPr>
        <w:t>2.600,00</w:t>
      </w:r>
    </w:p>
    <w:p w14:paraId="28EB87DD" w14:textId="4C998DC9" w:rsidR="00886A7A" w:rsidRPr="005D5D23" w:rsidRDefault="00A10C77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>Vislumbra-se que tal valor é compatível com o praticado pelo mercado correspondente</w:t>
      </w:r>
      <w:r w:rsidR="00886A7A" w:rsidRPr="005D5D23">
        <w:rPr>
          <w:rFonts w:ascii="Times New Roman" w:hAnsi="Times New Roman" w:cs="Times New Roman"/>
          <w:sz w:val="24"/>
          <w:szCs w:val="24"/>
        </w:rPr>
        <w:t>, observando-se o disposto no</w:t>
      </w:r>
      <w:r w:rsidR="0070045A" w:rsidRPr="005D5D23">
        <w:rPr>
          <w:rFonts w:ascii="Times New Roman" w:hAnsi="Times New Roman" w:cs="Times New Roman"/>
          <w:sz w:val="24"/>
          <w:szCs w:val="24"/>
        </w:rPr>
        <w:t xml:space="preserve"> Decreto Municipal n.º </w:t>
      </w:r>
      <w:r w:rsidR="003636B0" w:rsidRPr="005D5D23">
        <w:rPr>
          <w:rFonts w:ascii="Times New Roman" w:hAnsi="Times New Roman" w:cs="Times New Roman"/>
          <w:sz w:val="24"/>
          <w:szCs w:val="24"/>
        </w:rPr>
        <w:t xml:space="preserve">3.715 de 14 de dezembro de 2023, </w:t>
      </w:r>
      <w:r w:rsidR="0070045A" w:rsidRPr="005D5D23">
        <w:rPr>
          <w:rFonts w:ascii="Times New Roman" w:hAnsi="Times New Roman" w:cs="Times New Roman"/>
          <w:sz w:val="24"/>
          <w:szCs w:val="24"/>
        </w:rPr>
        <w:t>que “Estabelece o procedimento administrativo para a realização de pesquisa de preços para aquisição de bens, contratação de serviços em geral e para contratação de obras e serviços de engenharia no âmbito do Município de</w:t>
      </w:r>
      <w:r w:rsidR="003636B0" w:rsidRPr="005D5D23">
        <w:rPr>
          <w:rFonts w:ascii="Times New Roman" w:hAnsi="Times New Roman" w:cs="Times New Roman"/>
          <w:sz w:val="24"/>
          <w:szCs w:val="24"/>
        </w:rPr>
        <w:t xml:space="preserve"> Porto Xavier RS</w:t>
      </w:r>
      <w:r w:rsidR="0070045A" w:rsidRPr="005D5D23">
        <w:rPr>
          <w:rFonts w:ascii="Times New Roman" w:hAnsi="Times New Roman" w:cs="Times New Roman"/>
          <w:sz w:val="24"/>
          <w:szCs w:val="24"/>
        </w:rPr>
        <w:t>, nos termos da Lei Federal nº 14.133/2021”.</w:t>
      </w:r>
    </w:p>
    <w:p w14:paraId="021E96D7" w14:textId="77777777" w:rsidR="00581217" w:rsidRPr="005D5D23" w:rsidRDefault="00581217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6994" w14:textId="1DC17435" w:rsidR="00581217" w:rsidRDefault="0058121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7. DESCRIÇÃO DA SOLUÇÃO COMO UM TODO</w:t>
      </w:r>
    </w:p>
    <w:p w14:paraId="53CAE3D1" w14:textId="77777777" w:rsidR="003B0819" w:rsidRPr="00663931" w:rsidRDefault="003B0819" w:rsidP="003B0819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E84C51">
        <w:rPr>
          <w:color w:val="000000"/>
        </w:rPr>
        <w:t>A solução mais viável para a contratação seria a aquisição dos itens por meio de fornecedores habilitados mediante Processo Licitatório por Pregão Eletrônico, por se tratarem de itens comuns. A solução que mais atende seria a de levantamento dos itens com valor de mercado e a realização de um processo Licitatório de aquisição para atender as demandas da Secretaria.Com isso, o processo licitatório obedecerá ao Sistema de Registro de Preço por intermédio do Pregão Eletrônico, sistema que se faz mais vantajoso a Secretaria Municipal de Administração e Governo em virtude de não vincular a Administração total, logo podendo viabilizar as contratações conforme as necessidades.</w:t>
      </w:r>
    </w:p>
    <w:p w14:paraId="29929E1F" w14:textId="77777777" w:rsidR="003B0819" w:rsidRPr="00E84C51" w:rsidRDefault="003B0819" w:rsidP="003B0819">
      <w:pPr>
        <w:pStyle w:val="NormalWeb"/>
        <w:spacing w:line="276" w:lineRule="auto"/>
        <w:jc w:val="both"/>
        <w:rPr>
          <w:color w:val="000000"/>
        </w:rPr>
      </w:pPr>
      <w:r w:rsidRPr="00E84C51">
        <w:rPr>
          <w:color w:val="000000"/>
        </w:rPr>
        <w:t>Após realizada a Licitação, as contratadas deverão efetivar o fornecimento dos materiais conforme o prazo de entrega a ser definido no termo de referência, e emissão de nota de empenho, seguindo criteriosamente as descrições determinadas em tal termo, além das unidades de medida de acordo com a listagem de itens adquiridos.</w:t>
      </w:r>
    </w:p>
    <w:p w14:paraId="4134FF79" w14:textId="77777777" w:rsidR="003B0819" w:rsidRPr="005D5D23" w:rsidRDefault="003B0819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5DD08" w14:textId="2E420948" w:rsidR="007C05F7" w:rsidRPr="005D5D23" w:rsidRDefault="00C117BA" w:rsidP="00DB17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b/>
          <w:bCs/>
          <w:sz w:val="24"/>
          <w:szCs w:val="24"/>
        </w:rPr>
        <w:t>8. JUSTIFICATIVA PARA O PARCELAMENTO OU NÃO DA CONTRATAÇÃO</w:t>
      </w:r>
    </w:p>
    <w:p w14:paraId="0CA3248C" w14:textId="0985E379" w:rsidR="00A96687" w:rsidRDefault="00A96687" w:rsidP="00CA63F1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u w:val="single"/>
        </w:rPr>
        <w:t>A entrega dos produtos desta Licitação, deverá ser feita PARCELADAMENTE</w:t>
      </w:r>
      <w:r w:rsidRPr="005D5D23">
        <w:t xml:space="preserve"> no nos endereços constantes nos referidos pedidos, correndo por conta da contratada as despesas de embalagem, seguro, transporte, tributos, encargos trabalhistas e previdenciários, decorrentes do fornecimento dos produtos desta.</w:t>
      </w:r>
    </w:p>
    <w:p w14:paraId="45680FDB" w14:textId="77777777" w:rsidR="003B0819" w:rsidRPr="00037A0B" w:rsidRDefault="003B0819" w:rsidP="003B08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B2F">
        <w:rPr>
          <w:rFonts w:ascii="Times New Roman" w:hAnsi="Times New Roman" w:cs="Times New Roman"/>
          <w:sz w:val="24"/>
          <w:szCs w:val="24"/>
        </w:rPr>
        <w:t xml:space="preserve">Considerando ser o fornecimento de alimentos processados e que devem estar aquecidos ainda na entrega, esta Administração entende que, é extremamente necessário para fins de contratação; as empresas vencedoras do certame, ser um fornecedor local, conforme justificativa de entrega e ser perecível.  </w:t>
      </w:r>
    </w:p>
    <w:p w14:paraId="3B1F7FBF" w14:textId="62424346" w:rsidR="00E32042" w:rsidRPr="005D5D23" w:rsidRDefault="00E32042" w:rsidP="003C69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Considerando que o objeto da presente contratação é a aquisição de Material de Consumo, estarão sujeitos a disputa por meio de pregão eletrônico pelo sistema de registro de preços, assim, o </w:t>
      </w:r>
      <w:r w:rsidRPr="005D5D23">
        <w:rPr>
          <w:rFonts w:ascii="Times New Roman" w:hAnsi="Times New Roman" w:cs="Times New Roman"/>
          <w:sz w:val="24"/>
          <w:szCs w:val="24"/>
        </w:rPr>
        <w:lastRenderedPageBreak/>
        <w:t>procedimento licitatório com vistas ao melhor aproveitamento dos recursos administrativos, traz como critério de julgamento o menor preço por item, procedendo a licitação com melhor aproveitamento dos recursos públicos. Nesse sentido, será muito provável resultar em parcelamento da solução</w:t>
      </w:r>
      <w:r w:rsidR="005B38E7">
        <w:rPr>
          <w:rFonts w:ascii="Times New Roman" w:hAnsi="Times New Roman" w:cs="Times New Roman"/>
          <w:sz w:val="24"/>
          <w:szCs w:val="24"/>
        </w:rPr>
        <w:t>.</w:t>
      </w:r>
    </w:p>
    <w:p w14:paraId="687C4237" w14:textId="020536EA" w:rsidR="004A5831" w:rsidRPr="005D5D23" w:rsidRDefault="004A5831" w:rsidP="00BB22CE">
      <w:pPr>
        <w:pStyle w:val="NormalWeb"/>
        <w:spacing w:before="0" w:beforeAutospacing="0" w:after="0" w:afterAutospacing="0" w:line="360" w:lineRule="auto"/>
        <w:jc w:val="both"/>
      </w:pPr>
    </w:p>
    <w:p w14:paraId="1FBB8DA0" w14:textId="523D837D" w:rsidR="002D2436" w:rsidRPr="005D5D23" w:rsidRDefault="004A5831" w:rsidP="006B333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D5D23">
        <w:rPr>
          <w:b/>
          <w:bCs/>
        </w:rPr>
        <w:t xml:space="preserve">9. RESULTADOS PRETENDIDOS </w:t>
      </w:r>
    </w:p>
    <w:p w14:paraId="7BFD5300" w14:textId="77777777" w:rsidR="003B0819" w:rsidRPr="001534CA" w:rsidRDefault="003B0819" w:rsidP="003B0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4CA">
        <w:rPr>
          <w:rFonts w:ascii="Times New Roman" w:hAnsi="Times New Roman" w:cs="Times New Roman"/>
          <w:sz w:val="24"/>
          <w:szCs w:val="24"/>
        </w:rPr>
        <w:t>A contratação tem por finalidade o perfeito cumprimento das funções institucionais e promover meios que possibilitem a execução de suas metas, enquanto serviço público, buscando sempre a melhoria dos serviços prestados por 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4CA">
        <w:rPr>
          <w:rFonts w:ascii="Times New Roman" w:hAnsi="Times New Roman" w:cs="Times New Roman"/>
          <w:sz w:val="24"/>
          <w:szCs w:val="24"/>
        </w:rPr>
        <w:t>órgão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4CA">
        <w:rPr>
          <w:rFonts w:ascii="Times New Roman" w:hAnsi="Times New Roman" w:cs="Times New Roman"/>
          <w:sz w:val="24"/>
          <w:szCs w:val="24"/>
        </w:rPr>
        <w:t xml:space="preserve"> para o alcance e sucesso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534CA">
        <w:rPr>
          <w:rFonts w:ascii="Times New Roman" w:hAnsi="Times New Roman" w:cs="Times New Roman"/>
          <w:sz w:val="24"/>
          <w:szCs w:val="24"/>
        </w:rPr>
        <w:t xml:space="preserve"> atuação administrativa da Secretaria Municipal de Assistência Social e Habitação.</w:t>
      </w:r>
    </w:p>
    <w:p w14:paraId="40DCA661" w14:textId="77777777" w:rsidR="000534F0" w:rsidRPr="005D5D23" w:rsidRDefault="000534F0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0B0C0" w14:textId="0C077276" w:rsidR="00F62C01" w:rsidRPr="005D5D23" w:rsidRDefault="0020551E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4" w:name="art18§1ii"/>
      <w:bookmarkStart w:id="5" w:name="art18§1iii"/>
      <w:bookmarkStart w:id="6" w:name="art18§1v"/>
      <w:bookmarkStart w:id="7" w:name="art18§1vi"/>
      <w:bookmarkStart w:id="8" w:name="art18§1vii"/>
      <w:bookmarkStart w:id="9" w:name="art18§1viii"/>
      <w:bookmarkStart w:id="10" w:name="art18§1ix"/>
      <w:bookmarkStart w:id="11" w:name="art18§1x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D5D23">
        <w:rPr>
          <w:b/>
          <w:bCs/>
          <w:color w:val="000000"/>
        </w:rPr>
        <w:t>10</w:t>
      </w:r>
      <w:r w:rsidR="00C4112F" w:rsidRPr="005D5D23">
        <w:rPr>
          <w:b/>
          <w:bCs/>
          <w:color w:val="000000"/>
        </w:rPr>
        <w:t xml:space="preserve">. </w:t>
      </w:r>
      <w:r w:rsidRPr="005D5D23">
        <w:rPr>
          <w:b/>
          <w:bCs/>
          <w:color w:val="000000"/>
        </w:rPr>
        <w:t>PROVIDÊNCIAS PRÉVIAS AO CONTRATO</w:t>
      </w:r>
    </w:p>
    <w:p w14:paraId="2C7B9E04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t>A Secretaria de Assistência Social indicará servidores para atuarem como gestor e fiscal do contrato.</w:t>
      </w:r>
    </w:p>
    <w:p w14:paraId="1D69CA3C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t xml:space="preserve">Ademais, para que a pretendida contratação tenha sucesso, é preciso que outras etapas sejam concluídas, quais sejam: </w:t>
      </w:r>
    </w:p>
    <w:p w14:paraId="7E801DE9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a)</w:t>
      </w:r>
      <w:r w:rsidRPr="005D5D23">
        <w:t xml:space="preserve"> elaboração de minuta do edital; </w:t>
      </w:r>
    </w:p>
    <w:p w14:paraId="140863BE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 xml:space="preserve">b) </w:t>
      </w:r>
      <w:r w:rsidRPr="005D5D23">
        <w:t xml:space="preserve">realização de certificação de disponibilidade orçamentária; </w:t>
      </w:r>
    </w:p>
    <w:p w14:paraId="20E71950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c)</w:t>
      </w:r>
      <w:r w:rsidRPr="005D5D23">
        <w:t xml:space="preserve"> designação em Portaria de pregoeiro, equipe de apoio, agente de contratação (conforme o caso); </w:t>
      </w:r>
    </w:p>
    <w:p w14:paraId="5CC2C8C2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d)</w:t>
      </w:r>
      <w:r w:rsidRPr="005D5D23">
        <w:t xml:space="preserve"> elaboração de minuta do contrato; </w:t>
      </w:r>
    </w:p>
    <w:p w14:paraId="379CAB3F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e)</w:t>
      </w:r>
      <w:r w:rsidRPr="005D5D23">
        <w:t xml:space="preserve"> encaminhamento do processo para análise jurídica; </w:t>
      </w:r>
    </w:p>
    <w:p w14:paraId="10625187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f)</w:t>
      </w:r>
      <w:r w:rsidRPr="005D5D23">
        <w:t xml:space="preserve"> análise da manifestação jurídica e atendimento aos apontamentos constantes no parecer, mediante Nota Técnica com os ajustes indicados; </w:t>
      </w:r>
    </w:p>
    <w:p w14:paraId="26DE6004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g)</w:t>
      </w:r>
      <w:r w:rsidRPr="005D5D23">
        <w:t xml:space="preserve"> publicação e divulgação do edital e anexos; </w:t>
      </w:r>
    </w:p>
    <w:p w14:paraId="3C16473B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h)</w:t>
      </w:r>
      <w:r w:rsidRPr="005D5D23">
        <w:t xml:space="preserve"> resposta a eventuais pedidos de esclarecimentos e/ou impugnação, caso aplicável; </w:t>
      </w:r>
    </w:p>
    <w:p w14:paraId="3DB76ABD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i)</w:t>
      </w:r>
      <w:r w:rsidRPr="005D5D23">
        <w:t xml:space="preserve"> realização do certame, com suas respectivas etapas; </w:t>
      </w:r>
    </w:p>
    <w:p w14:paraId="4086B95D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j)</w:t>
      </w:r>
      <w:r w:rsidRPr="005D5D23">
        <w:t xml:space="preserve">  assinatura e publicação do contrato.  </w:t>
      </w:r>
    </w:p>
    <w:p w14:paraId="0B82036C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rPr>
          <w:b/>
          <w:bCs/>
        </w:rPr>
        <w:t>l</w:t>
      </w:r>
      <w:r w:rsidRPr="005D5D23">
        <w:t xml:space="preserve"> ) realização de empenho;</w:t>
      </w:r>
    </w:p>
    <w:p w14:paraId="55729C07" w14:textId="77777777" w:rsidR="0020551E" w:rsidRPr="005D5D23" w:rsidRDefault="0020551E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2" w:name="art18§1xi"/>
      <w:bookmarkEnd w:id="12"/>
    </w:p>
    <w:p w14:paraId="37D98BB2" w14:textId="20DF5B9B" w:rsidR="00F62C01" w:rsidRPr="005D5D23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5D5D23">
        <w:rPr>
          <w:b/>
          <w:bCs/>
          <w:color w:val="000000"/>
        </w:rPr>
        <w:t>11. CONTRATAÇÕES CORRELATAS E/OU INTERDEPENDENTES</w:t>
      </w:r>
    </w:p>
    <w:p w14:paraId="1D4A295E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4121BB84" w14:textId="77777777" w:rsidR="00193FAF" w:rsidRPr="005D5D23" w:rsidRDefault="00193FAF" w:rsidP="00193FAF">
      <w:pPr>
        <w:pStyle w:val="NormalWeb"/>
        <w:spacing w:before="0" w:beforeAutospacing="0" w:after="0" w:afterAutospacing="0" w:line="360" w:lineRule="auto"/>
        <w:jc w:val="both"/>
      </w:pPr>
      <w:r w:rsidRPr="005D5D23">
        <w:t>Os bens/serviços que se pretende, portanto, são autônomos e prescindem de contratações correlatas ou interdependentes.</w:t>
      </w:r>
    </w:p>
    <w:p w14:paraId="6C3F09DF" w14:textId="77777777" w:rsidR="003C6907" w:rsidRPr="005D5D23" w:rsidRDefault="003C6907" w:rsidP="00BB22CE">
      <w:pPr>
        <w:pStyle w:val="NormalWeb"/>
        <w:spacing w:before="0" w:beforeAutospacing="0" w:after="0" w:afterAutospacing="0" w:line="360" w:lineRule="auto"/>
        <w:jc w:val="both"/>
      </w:pPr>
    </w:p>
    <w:p w14:paraId="7502EDC5" w14:textId="366ADF41" w:rsidR="009E4432" w:rsidRPr="005D5D23" w:rsidRDefault="00AA1058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3" w:name="art18§1xii"/>
      <w:bookmarkEnd w:id="13"/>
      <w:r w:rsidRPr="005D5D23">
        <w:rPr>
          <w:b/>
          <w:bCs/>
          <w:color w:val="000000"/>
        </w:rPr>
        <w:t xml:space="preserve">12. POSSÍVEIS IMPACTOS AMBIENTAIS </w:t>
      </w:r>
    </w:p>
    <w:p w14:paraId="0DFFEA27" w14:textId="2DC68FBE" w:rsidR="00193FAF" w:rsidRPr="005D5D23" w:rsidRDefault="00193FAF" w:rsidP="00BB22CE">
      <w:pPr>
        <w:pStyle w:val="NormalWeb"/>
        <w:spacing w:before="0" w:beforeAutospacing="0" w:after="0" w:afterAutospacing="0" w:line="360" w:lineRule="auto"/>
        <w:jc w:val="both"/>
      </w:pPr>
      <w:r w:rsidRPr="005D5D23">
        <w:t>Dada a natureza do objeto que se pretende adquirir, não se verifica impactos ambientais relevantes sendo necessário tão somente que a licitante atenda aos critérios dos órgãos fiscalizadores quanto á sua atividade</w:t>
      </w:r>
    </w:p>
    <w:p w14:paraId="0B9898DA" w14:textId="77777777" w:rsidR="00193FAF" w:rsidRPr="005D5D23" w:rsidRDefault="00193FAF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7D04431D" w14:textId="647ED18B" w:rsidR="00F62C01" w:rsidRPr="005D5D23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14" w:name="art18§1xiii"/>
      <w:bookmarkEnd w:id="14"/>
      <w:r w:rsidRPr="005D5D23">
        <w:rPr>
          <w:b/>
          <w:bCs/>
          <w:color w:val="000000"/>
        </w:rPr>
        <w:t xml:space="preserve">13. DECLARAÇÃO DE VIABILIDADE </w:t>
      </w:r>
    </w:p>
    <w:p w14:paraId="432C7122" w14:textId="77777777" w:rsidR="003B0819" w:rsidRPr="005D7A63" w:rsidRDefault="003B0819" w:rsidP="003B0819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5D7A63"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7F6AC41F" w14:textId="77777777" w:rsidR="003B0819" w:rsidRDefault="003B0819" w:rsidP="00193FAF">
      <w:pPr>
        <w:spacing w:line="360" w:lineRule="auto"/>
        <w:jc w:val="both"/>
        <w:rPr>
          <w:rFonts w:ascii="Times New Roman" w:hAnsi="Times New Roman" w:cs="Times New Roman"/>
        </w:rPr>
      </w:pPr>
    </w:p>
    <w:p w14:paraId="2706991B" w14:textId="77777777" w:rsidR="003B0819" w:rsidRDefault="003B0819" w:rsidP="00193FAF">
      <w:pPr>
        <w:spacing w:line="360" w:lineRule="auto"/>
        <w:jc w:val="both"/>
        <w:rPr>
          <w:rFonts w:ascii="Times New Roman" w:hAnsi="Times New Roman" w:cs="Times New Roman"/>
        </w:rPr>
      </w:pPr>
    </w:p>
    <w:p w14:paraId="6E55E4CF" w14:textId="042DBDAB" w:rsidR="00AF43CC" w:rsidRPr="005D5D23" w:rsidRDefault="009E4432" w:rsidP="005D5D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D23">
        <w:rPr>
          <w:rFonts w:ascii="Times New Roman" w:hAnsi="Times New Roman" w:cs="Times New Roman"/>
          <w:sz w:val="24"/>
          <w:szCs w:val="24"/>
        </w:rPr>
        <w:t xml:space="preserve">Porto Xavier, </w:t>
      </w:r>
      <w:r w:rsidR="005D5D23">
        <w:rPr>
          <w:rFonts w:ascii="Times New Roman" w:hAnsi="Times New Roman" w:cs="Times New Roman"/>
          <w:sz w:val="24"/>
          <w:szCs w:val="24"/>
        </w:rPr>
        <w:t>06 de feverei</w:t>
      </w:r>
      <w:r w:rsidRPr="005D5D23">
        <w:rPr>
          <w:rFonts w:ascii="Times New Roman" w:hAnsi="Times New Roman" w:cs="Times New Roman"/>
          <w:sz w:val="24"/>
          <w:szCs w:val="24"/>
        </w:rPr>
        <w:t>ro de 2024.</w:t>
      </w:r>
    </w:p>
    <w:p w14:paraId="080F805D" w14:textId="77777777" w:rsidR="009E4432" w:rsidRDefault="009E4432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0E49A" w14:textId="77777777" w:rsid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C4AD9" w14:textId="77777777" w:rsid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F0FD" w14:textId="77777777" w:rsid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CB808" w14:textId="77777777" w:rsid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F633" w14:textId="77777777" w:rsid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DE5B" w14:textId="77777777" w:rsidR="005D5D23" w:rsidRPr="005D5D23" w:rsidRDefault="005D5D23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9280" w14:textId="77777777" w:rsidR="009E4432" w:rsidRPr="005D5D23" w:rsidRDefault="009E4432" w:rsidP="009E4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6EC59" w14:textId="77777777" w:rsidR="009E4432" w:rsidRPr="005D5D23" w:rsidRDefault="009E4432" w:rsidP="009E4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26C67" w14:textId="77777777" w:rsidR="009E4432" w:rsidRPr="005D5D23" w:rsidRDefault="009E4432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11E3" w14:textId="77777777" w:rsidR="00C41DBE" w:rsidRPr="005D5D23" w:rsidRDefault="00C41DBE" w:rsidP="00C41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13D53" w14:textId="2E8F59CC" w:rsidR="00AF43CC" w:rsidRPr="005D5D23" w:rsidRDefault="00AF43CC" w:rsidP="00BB2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43CC" w:rsidRPr="005D5D23" w:rsidSect="00310ABE">
      <w:footerReference w:type="default" r:id="rId8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9982D" w14:textId="77777777" w:rsidR="000D3AB9" w:rsidRDefault="000D3AB9">
      <w:r>
        <w:separator/>
      </w:r>
    </w:p>
  </w:endnote>
  <w:endnote w:type="continuationSeparator" w:id="0">
    <w:p w14:paraId="5937F16D" w14:textId="77777777" w:rsidR="000D3AB9" w:rsidRDefault="000D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615B63BB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C2A">
          <w:rPr>
            <w:noProof/>
          </w:rPr>
          <w:t>6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34B71" w14:textId="77777777" w:rsidR="000D3AB9" w:rsidRDefault="000D3AB9">
      <w:r>
        <w:separator/>
      </w:r>
    </w:p>
  </w:footnote>
  <w:footnote w:type="continuationSeparator" w:id="0">
    <w:p w14:paraId="5D232A28" w14:textId="77777777" w:rsidR="000D3AB9" w:rsidRDefault="000D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E40"/>
    <w:multiLevelType w:val="hybridMultilevel"/>
    <w:tmpl w:val="45788198"/>
    <w:lvl w:ilvl="0" w:tplc="21B8F17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17C00"/>
    <w:multiLevelType w:val="hybridMultilevel"/>
    <w:tmpl w:val="7EFCF886"/>
    <w:lvl w:ilvl="0" w:tplc="E0C8DE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E0542"/>
    <w:multiLevelType w:val="hybridMultilevel"/>
    <w:tmpl w:val="CC9AB4E2"/>
    <w:lvl w:ilvl="0" w:tplc="86F6F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AB3ED7"/>
    <w:multiLevelType w:val="hybridMultilevel"/>
    <w:tmpl w:val="24567CB8"/>
    <w:lvl w:ilvl="0" w:tplc="D5D28E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02D0"/>
    <w:multiLevelType w:val="hybridMultilevel"/>
    <w:tmpl w:val="2FD8D5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D"/>
    <w:rsid w:val="00024D12"/>
    <w:rsid w:val="0002783F"/>
    <w:rsid w:val="00034C98"/>
    <w:rsid w:val="000534F0"/>
    <w:rsid w:val="00053E01"/>
    <w:rsid w:val="00054D2D"/>
    <w:rsid w:val="00071ED4"/>
    <w:rsid w:val="00076E4E"/>
    <w:rsid w:val="00092A81"/>
    <w:rsid w:val="000A79CF"/>
    <w:rsid w:val="000D3AB9"/>
    <w:rsid w:val="000D6864"/>
    <w:rsid w:val="000E2531"/>
    <w:rsid w:val="000E417E"/>
    <w:rsid w:val="00112C7B"/>
    <w:rsid w:val="00120E0C"/>
    <w:rsid w:val="00123E80"/>
    <w:rsid w:val="0013169B"/>
    <w:rsid w:val="00131824"/>
    <w:rsid w:val="00135D0E"/>
    <w:rsid w:val="001451F3"/>
    <w:rsid w:val="001569EB"/>
    <w:rsid w:val="0016054F"/>
    <w:rsid w:val="00170DC7"/>
    <w:rsid w:val="001810B4"/>
    <w:rsid w:val="0018150E"/>
    <w:rsid w:val="00181FE2"/>
    <w:rsid w:val="00193FAF"/>
    <w:rsid w:val="0019568D"/>
    <w:rsid w:val="001B0923"/>
    <w:rsid w:val="001B124B"/>
    <w:rsid w:val="001C3A0F"/>
    <w:rsid w:val="001D16D4"/>
    <w:rsid w:val="001D4F88"/>
    <w:rsid w:val="001D7CD3"/>
    <w:rsid w:val="001E5FD3"/>
    <w:rsid w:val="0020369E"/>
    <w:rsid w:val="00203C09"/>
    <w:rsid w:val="0020551E"/>
    <w:rsid w:val="00212D31"/>
    <w:rsid w:val="00231F44"/>
    <w:rsid w:val="002345E1"/>
    <w:rsid w:val="0024029F"/>
    <w:rsid w:val="00241818"/>
    <w:rsid w:val="0024323B"/>
    <w:rsid w:val="00247EDE"/>
    <w:rsid w:val="002504F1"/>
    <w:rsid w:val="00257E37"/>
    <w:rsid w:val="00265E58"/>
    <w:rsid w:val="002664D0"/>
    <w:rsid w:val="00282B1F"/>
    <w:rsid w:val="00282F97"/>
    <w:rsid w:val="0028692C"/>
    <w:rsid w:val="002B1997"/>
    <w:rsid w:val="002B3B55"/>
    <w:rsid w:val="002D163D"/>
    <w:rsid w:val="002D2436"/>
    <w:rsid w:val="002F26B5"/>
    <w:rsid w:val="002F2C0F"/>
    <w:rsid w:val="00304421"/>
    <w:rsid w:val="00307B4A"/>
    <w:rsid w:val="00310ABE"/>
    <w:rsid w:val="00322D62"/>
    <w:rsid w:val="003323D2"/>
    <w:rsid w:val="00335141"/>
    <w:rsid w:val="0033619B"/>
    <w:rsid w:val="00357F2C"/>
    <w:rsid w:val="00360953"/>
    <w:rsid w:val="003636B0"/>
    <w:rsid w:val="003728E6"/>
    <w:rsid w:val="0037799F"/>
    <w:rsid w:val="00387AA6"/>
    <w:rsid w:val="003A159C"/>
    <w:rsid w:val="003B0819"/>
    <w:rsid w:val="003B677C"/>
    <w:rsid w:val="003C6907"/>
    <w:rsid w:val="003D4B43"/>
    <w:rsid w:val="003F49EC"/>
    <w:rsid w:val="00401BA4"/>
    <w:rsid w:val="00401C3A"/>
    <w:rsid w:val="00410ADF"/>
    <w:rsid w:val="00434040"/>
    <w:rsid w:val="004417A7"/>
    <w:rsid w:val="004469DB"/>
    <w:rsid w:val="004511A1"/>
    <w:rsid w:val="00452171"/>
    <w:rsid w:val="0046538C"/>
    <w:rsid w:val="0047583C"/>
    <w:rsid w:val="00477F89"/>
    <w:rsid w:val="00481BCF"/>
    <w:rsid w:val="0049267E"/>
    <w:rsid w:val="004A0242"/>
    <w:rsid w:val="004A4B5F"/>
    <w:rsid w:val="004A57E1"/>
    <w:rsid w:val="004A5831"/>
    <w:rsid w:val="004B37C4"/>
    <w:rsid w:val="004C072E"/>
    <w:rsid w:val="004C72E5"/>
    <w:rsid w:val="004D14A5"/>
    <w:rsid w:val="004D321A"/>
    <w:rsid w:val="004D675A"/>
    <w:rsid w:val="004D72FC"/>
    <w:rsid w:val="004E3FB8"/>
    <w:rsid w:val="00502E0D"/>
    <w:rsid w:val="00504075"/>
    <w:rsid w:val="00520F9B"/>
    <w:rsid w:val="005337F0"/>
    <w:rsid w:val="00533B87"/>
    <w:rsid w:val="00535E75"/>
    <w:rsid w:val="0056228B"/>
    <w:rsid w:val="005643B5"/>
    <w:rsid w:val="00581217"/>
    <w:rsid w:val="00590B3B"/>
    <w:rsid w:val="00592EA8"/>
    <w:rsid w:val="005A1890"/>
    <w:rsid w:val="005A2613"/>
    <w:rsid w:val="005B1006"/>
    <w:rsid w:val="005B38E7"/>
    <w:rsid w:val="005B557F"/>
    <w:rsid w:val="005B678B"/>
    <w:rsid w:val="005C5021"/>
    <w:rsid w:val="005D0A15"/>
    <w:rsid w:val="005D1434"/>
    <w:rsid w:val="005D5D23"/>
    <w:rsid w:val="005E4757"/>
    <w:rsid w:val="005F4B9E"/>
    <w:rsid w:val="006212C8"/>
    <w:rsid w:val="00627A6A"/>
    <w:rsid w:val="006333F7"/>
    <w:rsid w:val="00635162"/>
    <w:rsid w:val="00645DCB"/>
    <w:rsid w:val="00654A52"/>
    <w:rsid w:val="006632EC"/>
    <w:rsid w:val="00667C07"/>
    <w:rsid w:val="0067063C"/>
    <w:rsid w:val="00686EA3"/>
    <w:rsid w:val="00693174"/>
    <w:rsid w:val="00693C81"/>
    <w:rsid w:val="006B3335"/>
    <w:rsid w:val="006C3941"/>
    <w:rsid w:val="006C6E29"/>
    <w:rsid w:val="006D62BD"/>
    <w:rsid w:val="006D7DB5"/>
    <w:rsid w:val="006E29C6"/>
    <w:rsid w:val="006F13FA"/>
    <w:rsid w:val="006F260B"/>
    <w:rsid w:val="006F7A58"/>
    <w:rsid w:val="0070045A"/>
    <w:rsid w:val="00712342"/>
    <w:rsid w:val="00720D03"/>
    <w:rsid w:val="00720FDF"/>
    <w:rsid w:val="00726498"/>
    <w:rsid w:val="00726AAE"/>
    <w:rsid w:val="00736BB3"/>
    <w:rsid w:val="0074088D"/>
    <w:rsid w:val="00744451"/>
    <w:rsid w:val="0075050B"/>
    <w:rsid w:val="00757551"/>
    <w:rsid w:val="00770CB0"/>
    <w:rsid w:val="00773EEB"/>
    <w:rsid w:val="00774485"/>
    <w:rsid w:val="00783750"/>
    <w:rsid w:val="007A019D"/>
    <w:rsid w:val="007A5E07"/>
    <w:rsid w:val="007B2EB7"/>
    <w:rsid w:val="007C02E7"/>
    <w:rsid w:val="007C05F7"/>
    <w:rsid w:val="007C0E10"/>
    <w:rsid w:val="007D1EC9"/>
    <w:rsid w:val="007D3A9D"/>
    <w:rsid w:val="007E0E3F"/>
    <w:rsid w:val="007E3870"/>
    <w:rsid w:val="007E7737"/>
    <w:rsid w:val="00813C3A"/>
    <w:rsid w:val="0081748B"/>
    <w:rsid w:val="00825E47"/>
    <w:rsid w:val="0083187F"/>
    <w:rsid w:val="00832920"/>
    <w:rsid w:val="00833D8E"/>
    <w:rsid w:val="00845083"/>
    <w:rsid w:val="00855A5B"/>
    <w:rsid w:val="00866632"/>
    <w:rsid w:val="008709B2"/>
    <w:rsid w:val="00881C74"/>
    <w:rsid w:val="0088253E"/>
    <w:rsid w:val="00886A7A"/>
    <w:rsid w:val="0089125B"/>
    <w:rsid w:val="00896676"/>
    <w:rsid w:val="0089786B"/>
    <w:rsid w:val="008D0CF8"/>
    <w:rsid w:val="008D2E0F"/>
    <w:rsid w:val="008D3A67"/>
    <w:rsid w:val="008F3C7B"/>
    <w:rsid w:val="008F4385"/>
    <w:rsid w:val="00901B56"/>
    <w:rsid w:val="009057D3"/>
    <w:rsid w:val="00917447"/>
    <w:rsid w:val="00933A18"/>
    <w:rsid w:val="00934C46"/>
    <w:rsid w:val="00946011"/>
    <w:rsid w:val="009538DB"/>
    <w:rsid w:val="009600DD"/>
    <w:rsid w:val="0096624A"/>
    <w:rsid w:val="00971677"/>
    <w:rsid w:val="009721AC"/>
    <w:rsid w:val="00981F9D"/>
    <w:rsid w:val="009927AC"/>
    <w:rsid w:val="009966BE"/>
    <w:rsid w:val="009A25CA"/>
    <w:rsid w:val="009C3170"/>
    <w:rsid w:val="009C5BC6"/>
    <w:rsid w:val="009D0FC5"/>
    <w:rsid w:val="009D1080"/>
    <w:rsid w:val="009D48B5"/>
    <w:rsid w:val="009E061D"/>
    <w:rsid w:val="009E2AFD"/>
    <w:rsid w:val="009E4432"/>
    <w:rsid w:val="009E4F10"/>
    <w:rsid w:val="009F5767"/>
    <w:rsid w:val="009F6D25"/>
    <w:rsid w:val="00A01527"/>
    <w:rsid w:val="00A0450F"/>
    <w:rsid w:val="00A04BBC"/>
    <w:rsid w:val="00A06BB4"/>
    <w:rsid w:val="00A10C77"/>
    <w:rsid w:val="00A14341"/>
    <w:rsid w:val="00A1647E"/>
    <w:rsid w:val="00A17AB4"/>
    <w:rsid w:val="00A21CB3"/>
    <w:rsid w:val="00A41F1E"/>
    <w:rsid w:val="00A7152C"/>
    <w:rsid w:val="00A75F9E"/>
    <w:rsid w:val="00A82DB3"/>
    <w:rsid w:val="00A83DCA"/>
    <w:rsid w:val="00A918A5"/>
    <w:rsid w:val="00A94C95"/>
    <w:rsid w:val="00A96191"/>
    <w:rsid w:val="00A96687"/>
    <w:rsid w:val="00AA1058"/>
    <w:rsid w:val="00AA57AE"/>
    <w:rsid w:val="00AA7C51"/>
    <w:rsid w:val="00AB5562"/>
    <w:rsid w:val="00AC4E37"/>
    <w:rsid w:val="00AC69E9"/>
    <w:rsid w:val="00AC6DE8"/>
    <w:rsid w:val="00AE0F94"/>
    <w:rsid w:val="00AE66AB"/>
    <w:rsid w:val="00AF10A7"/>
    <w:rsid w:val="00AF43CC"/>
    <w:rsid w:val="00B04BBE"/>
    <w:rsid w:val="00B1151E"/>
    <w:rsid w:val="00B158A8"/>
    <w:rsid w:val="00B33E44"/>
    <w:rsid w:val="00B41026"/>
    <w:rsid w:val="00B44F41"/>
    <w:rsid w:val="00B64543"/>
    <w:rsid w:val="00B76A20"/>
    <w:rsid w:val="00B82CB8"/>
    <w:rsid w:val="00B96321"/>
    <w:rsid w:val="00B96D5C"/>
    <w:rsid w:val="00BA7EC0"/>
    <w:rsid w:val="00BB22CE"/>
    <w:rsid w:val="00BC40E7"/>
    <w:rsid w:val="00BC419D"/>
    <w:rsid w:val="00BC6F52"/>
    <w:rsid w:val="00BD523F"/>
    <w:rsid w:val="00BE53B5"/>
    <w:rsid w:val="00BF288C"/>
    <w:rsid w:val="00C117BA"/>
    <w:rsid w:val="00C13492"/>
    <w:rsid w:val="00C1565E"/>
    <w:rsid w:val="00C17098"/>
    <w:rsid w:val="00C238D7"/>
    <w:rsid w:val="00C31B32"/>
    <w:rsid w:val="00C4070D"/>
    <w:rsid w:val="00C4112F"/>
    <w:rsid w:val="00C41DBE"/>
    <w:rsid w:val="00C64969"/>
    <w:rsid w:val="00C742D1"/>
    <w:rsid w:val="00C829DF"/>
    <w:rsid w:val="00C879A8"/>
    <w:rsid w:val="00C90F73"/>
    <w:rsid w:val="00C949F0"/>
    <w:rsid w:val="00C94E71"/>
    <w:rsid w:val="00CA1144"/>
    <w:rsid w:val="00CA29EC"/>
    <w:rsid w:val="00CA63F1"/>
    <w:rsid w:val="00CB2C70"/>
    <w:rsid w:val="00CC16CF"/>
    <w:rsid w:val="00CC2F16"/>
    <w:rsid w:val="00CC37BB"/>
    <w:rsid w:val="00CC6C90"/>
    <w:rsid w:val="00CD02AD"/>
    <w:rsid w:val="00CD1323"/>
    <w:rsid w:val="00CD499D"/>
    <w:rsid w:val="00CD642D"/>
    <w:rsid w:val="00CD7855"/>
    <w:rsid w:val="00CE2C30"/>
    <w:rsid w:val="00CE4B3F"/>
    <w:rsid w:val="00CF4239"/>
    <w:rsid w:val="00D008B8"/>
    <w:rsid w:val="00D1129E"/>
    <w:rsid w:val="00D15C2A"/>
    <w:rsid w:val="00D16074"/>
    <w:rsid w:val="00D31BAD"/>
    <w:rsid w:val="00D452AD"/>
    <w:rsid w:val="00D50ACD"/>
    <w:rsid w:val="00D616B6"/>
    <w:rsid w:val="00D66959"/>
    <w:rsid w:val="00D7410F"/>
    <w:rsid w:val="00D77493"/>
    <w:rsid w:val="00D81169"/>
    <w:rsid w:val="00DA1885"/>
    <w:rsid w:val="00DA63B7"/>
    <w:rsid w:val="00DA7412"/>
    <w:rsid w:val="00DB17F3"/>
    <w:rsid w:val="00DC018A"/>
    <w:rsid w:val="00DC1256"/>
    <w:rsid w:val="00DC49A0"/>
    <w:rsid w:val="00DD01B8"/>
    <w:rsid w:val="00DE0B44"/>
    <w:rsid w:val="00DE34B5"/>
    <w:rsid w:val="00DE3DC8"/>
    <w:rsid w:val="00DF17E5"/>
    <w:rsid w:val="00DF7B37"/>
    <w:rsid w:val="00E07291"/>
    <w:rsid w:val="00E12648"/>
    <w:rsid w:val="00E23A28"/>
    <w:rsid w:val="00E32042"/>
    <w:rsid w:val="00E40AD7"/>
    <w:rsid w:val="00E476EA"/>
    <w:rsid w:val="00E55CB8"/>
    <w:rsid w:val="00E569FF"/>
    <w:rsid w:val="00E56A69"/>
    <w:rsid w:val="00E576FB"/>
    <w:rsid w:val="00E60B44"/>
    <w:rsid w:val="00E63422"/>
    <w:rsid w:val="00E63DFF"/>
    <w:rsid w:val="00E74498"/>
    <w:rsid w:val="00E80693"/>
    <w:rsid w:val="00E8484A"/>
    <w:rsid w:val="00EA57E0"/>
    <w:rsid w:val="00EB0EA8"/>
    <w:rsid w:val="00EB3014"/>
    <w:rsid w:val="00EB5414"/>
    <w:rsid w:val="00EC6AAD"/>
    <w:rsid w:val="00EE774F"/>
    <w:rsid w:val="00EF2F3C"/>
    <w:rsid w:val="00EF3A01"/>
    <w:rsid w:val="00EF7DFF"/>
    <w:rsid w:val="00F10A7D"/>
    <w:rsid w:val="00F17BB8"/>
    <w:rsid w:val="00F246DD"/>
    <w:rsid w:val="00F50A45"/>
    <w:rsid w:val="00F60E62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D014D"/>
    <w:rsid w:val="00FE3023"/>
    <w:rsid w:val="00FE66AF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3003F4"/>
  <w15:chartTrackingRefBased/>
  <w15:docId w15:val="{6039E57E-E1AF-498A-BFB6-1F2A508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21B3-28C5-492E-96A3-B9A6A0A2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Lauro</cp:lastModifiedBy>
  <cp:revision>2</cp:revision>
  <cp:lastPrinted>2024-01-24T14:03:00Z</cp:lastPrinted>
  <dcterms:created xsi:type="dcterms:W3CDTF">2024-03-18T11:08:00Z</dcterms:created>
  <dcterms:modified xsi:type="dcterms:W3CDTF">2024-03-18T11:08:00Z</dcterms:modified>
</cp:coreProperties>
</file>