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5136A5FB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741C65">
        <w:rPr>
          <w:rFonts w:ascii="Arial" w:hAnsi="Arial" w:cs="Arial"/>
        </w:rPr>
        <w:t>7</w:t>
      </w:r>
      <w:r w:rsidR="000540F6">
        <w:rPr>
          <w:rFonts w:ascii="Arial" w:hAnsi="Arial" w:cs="Arial"/>
        </w:rPr>
        <w:t>8</w:t>
      </w:r>
      <w:r w:rsidR="004E150F">
        <w:rPr>
          <w:rFonts w:ascii="Arial" w:hAnsi="Arial" w:cs="Arial"/>
        </w:rPr>
        <w:t>/</w:t>
      </w:r>
      <w:r w:rsidR="0007399A">
        <w:rPr>
          <w:rFonts w:ascii="Arial" w:hAnsi="Arial" w:cs="Arial"/>
        </w:rPr>
        <w:t>2025</w:t>
      </w:r>
    </w:p>
    <w:p w14:paraId="2CEA6952" w14:textId="48486189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FE648F">
        <w:rPr>
          <w:rFonts w:ascii="Arial" w:hAnsi="Arial" w:cs="Arial"/>
        </w:rPr>
        <w:t>7</w:t>
      </w:r>
      <w:r w:rsidR="000540F6">
        <w:rPr>
          <w:rFonts w:ascii="Arial" w:hAnsi="Arial" w:cs="Arial"/>
        </w:rPr>
        <w:t>8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5C1CCE">
        <w:rPr>
          <w:rFonts w:ascii="Arial" w:hAnsi="Arial" w:cs="Arial"/>
        </w:rPr>
        <w:t>7</w:t>
      </w:r>
      <w:r w:rsidR="000540F6">
        <w:rPr>
          <w:rFonts w:ascii="Arial" w:hAnsi="Arial" w:cs="Arial"/>
        </w:rPr>
        <w:t>8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06AA62AE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582543">
        <w:rPr>
          <w:rFonts w:ascii="Arial" w:hAnsi="Arial" w:cs="Arial"/>
        </w:rPr>
        <w:t xml:space="preserve">: Poder </w:t>
      </w:r>
      <w:r w:rsidR="0056202D">
        <w:rPr>
          <w:rFonts w:ascii="Arial" w:hAnsi="Arial" w:cs="Arial"/>
        </w:rPr>
        <w:t>Executivo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0540F6">
        <w:rPr>
          <w:rFonts w:ascii="Arial" w:hAnsi="Arial" w:cs="Arial"/>
        </w:rPr>
        <w:t>03 10</w:t>
      </w:r>
      <w:r w:rsidR="00E14868">
        <w:rPr>
          <w:rFonts w:ascii="Arial" w:hAnsi="Arial" w:cs="Arial"/>
        </w:rPr>
        <w:t xml:space="preserve">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0F0DD2D3" w:rsidR="005B1CCE" w:rsidRPr="004E150F" w:rsidRDefault="007527D7" w:rsidP="000B6243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655764">
        <w:rPr>
          <w:rFonts w:ascii="Arial" w:hAnsi="Arial" w:cs="Arial"/>
        </w:rPr>
        <w:t>:</w:t>
      </w:r>
      <w:r w:rsidR="00504117" w:rsidRPr="00504117">
        <w:t xml:space="preserve"> </w:t>
      </w:r>
      <w:r w:rsidR="000540F6" w:rsidRPr="000540F6">
        <w:rPr>
          <w:rFonts w:ascii="Arial" w:hAnsi="Arial" w:cs="Arial"/>
          <w:b/>
          <w:i/>
        </w:rPr>
        <w:t>Dispõe sobre as diretrizes orçamentárias para o exercício financeiro de 2026.</w:t>
      </w: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2DFB6054" w14:textId="77777777" w:rsidR="00855A05" w:rsidRPr="00855A05" w:rsidRDefault="00855A05" w:rsidP="00855A05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855A05">
        <w:rPr>
          <w:rFonts w:ascii="Arial" w:hAnsi="Arial" w:cs="Arial"/>
        </w:rPr>
        <w:t>O presente Projeto de Lei nº 078/2025, de iniciativa do Poder Executivo Municipal, estabelece as Diretrizes Orçamentárias (LDO) para o exercício financeiro de 2026, em cumprimento ao disposto no artigo 165, §2º, da Constituição Federal, na Lei Complementar nº 101/2000 (Lei de Responsabilidade Fiscal) e no artigo 82 da Lei Orgânica Municipal.</w:t>
      </w:r>
    </w:p>
    <w:p w14:paraId="091CD168" w14:textId="77777777" w:rsidR="00855A05" w:rsidRPr="00855A05" w:rsidRDefault="00855A05" w:rsidP="00855A05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855A05">
        <w:rPr>
          <w:rFonts w:ascii="Arial" w:hAnsi="Arial" w:cs="Arial"/>
        </w:rPr>
        <w:t>Durante a tramitação, foi apresentada emenda pela Bancada do MDB, que propõe a inclusão da Ação 1033 prevista no Plano Plurianual (PPA 2026–2029), objetivando a criação de programa de socorro aos produtores rurais em caso de emergência ou calamidade pública.</w:t>
      </w:r>
    </w:p>
    <w:p w14:paraId="7FAC906A" w14:textId="77777777" w:rsidR="00855A05" w:rsidRDefault="00855A05" w:rsidP="00855A05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855A05">
        <w:rPr>
          <w:rFonts w:ascii="Arial" w:hAnsi="Arial" w:cs="Arial"/>
        </w:rPr>
        <w:t>O projeto, juntamente com a referida emenda, foi encaminhado a esta Comissão de Legislação, Justiça e Redação Final para análise de constitucionalidade, legalidade e técnica legislativa.</w:t>
      </w:r>
    </w:p>
    <w:p w14:paraId="08C53041" w14:textId="1FD313D5" w:rsidR="00BB5113" w:rsidRPr="00C200B1" w:rsidRDefault="00C200B1" w:rsidP="00855A05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77AD987A" w14:textId="77777777" w:rsidR="00855A05" w:rsidRPr="00855A05" w:rsidRDefault="00855A05" w:rsidP="00855A05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855A05">
        <w:rPr>
          <w:rFonts w:ascii="Arial" w:hAnsi="Arial" w:cs="Arial"/>
        </w:rPr>
        <w:t>A proposição atende aos princípios e determinações constitucionais relativos à competência legislativa municipal, conforme o artigo 30, inciso I, da Constituição Federal, e às normas da Lei de Responsabilidade Fiscal, que determina a obrigatoriedade da Lei de Diretrizes Orçamentárias como instrumento de planejamento governamental.</w:t>
      </w:r>
    </w:p>
    <w:p w14:paraId="1F3B9E5D" w14:textId="77777777" w:rsidR="00855A05" w:rsidRPr="00855A05" w:rsidRDefault="00855A05" w:rsidP="00855A05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855A05">
        <w:rPr>
          <w:rFonts w:ascii="Arial" w:hAnsi="Arial" w:cs="Arial"/>
        </w:rPr>
        <w:t>A emenda apresentada pela Bancada do MDB insere ação previamente contemplada no Plano Plurianual, razão pela qual guarda compatibilidade orçamentária e material com o planejamento plurianual do Município. Ademais, trata-se de ação de interesse público relevante, voltada à proteção da atividade agrícola e ao amparo de produtores em situações de emergência, o que reforça seu mérito social e administrativo.</w:t>
      </w:r>
    </w:p>
    <w:p w14:paraId="55B86680" w14:textId="77777777" w:rsidR="00855A05" w:rsidRPr="00855A05" w:rsidRDefault="00855A05" w:rsidP="00855A05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855A05">
        <w:rPr>
          <w:rFonts w:ascii="Arial" w:hAnsi="Arial" w:cs="Arial"/>
        </w:rPr>
        <w:t xml:space="preserve">Do ponto de vista formal e jurídico, não se identificam vícios de inconstitucionalidade, ilegalidade ou incompatibilidade com o ordenamento vigente. A </w:t>
      </w:r>
      <w:r w:rsidRPr="00855A05">
        <w:rPr>
          <w:rFonts w:ascii="Arial" w:hAnsi="Arial" w:cs="Arial"/>
        </w:rPr>
        <w:lastRenderedPageBreak/>
        <w:t>proposta observa os princípios da iniciativa legislativa, da harmonia entre os poderes e da técnica legislativa, previstos na Lei Complementar nº 95/1998.</w:t>
      </w:r>
    </w:p>
    <w:p w14:paraId="0C8A4FDB" w14:textId="77777777" w:rsidR="00855A05" w:rsidRDefault="00855A05" w:rsidP="00855A05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855A05">
        <w:rPr>
          <w:rFonts w:ascii="Arial" w:hAnsi="Arial" w:cs="Arial"/>
        </w:rPr>
        <w:t>Assim, a emenda e o projeto, em seu conjunto, encontram-se aptos para tramitação e votação em plenário.</w:t>
      </w:r>
    </w:p>
    <w:p w14:paraId="4F98E1E5" w14:textId="2FA94A0B" w:rsidR="00BB5113" w:rsidRPr="00C200B1" w:rsidRDefault="00C200B1" w:rsidP="00855A05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bookmarkStart w:id="0" w:name="_GoBack"/>
      <w:bookmarkEnd w:id="0"/>
      <w:r w:rsidRPr="00C200B1">
        <w:rPr>
          <w:rFonts w:ascii="Arial" w:hAnsi="Arial" w:cs="Arial"/>
          <w:b/>
          <w:u w:val="single"/>
        </w:rPr>
        <w:t>Conclusão</w:t>
      </w:r>
    </w:p>
    <w:p w14:paraId="4C11034F" w14:textId="77777777" w:rsidR="00855A05" w:rsidRPr="00855A05" w:rsidRDefault="00855A05" w:rsidP="00855A05">
      <w:pPr>
        <w:spacing w:after="0" w:line="360" w:lineRule="auto"/>
        <w:ind w:firstLine="851"/>
        <w:jc w:val="both"/>
        <w:rPr>
          <w:rFonts w:ascii="Arial" w:hAnsi="Arial" w:cs="Arial"/>
        </w:rPr>
      </w:pPr>
      <w:r w:rsidRPr="00855A05">
        <w:rPr>
          <w:rFonts w:ascii="Arial" w:hAnsi="Arial" w:cs="Arial"/>
        </w:rPr>
        <w:t>Diante do exposto, esta Comissão de Legislação, Justiça e Redação Final opina favoravelmente à aprovação do Projeto de Lei nº 078/2025, com a inclusão da Emenda apresentada pela Bancada do MDB, por atender aos princípios da legalidade, constitucionalidade e técnica legislativa.</w:t>
      </w:r>
    </w:p>
    <w:p w14:paraId="43B8D4F3" w14:textId="77777777" w:rsidR="00855A05" w:rsidRPr="00855A05" w:rsidRDefault="00855A05" w:rsidP="00855A05">
      <w:pPr>
        <w:spacing w:after="0" w:line="360" w:lineRule="auto"/>
        <w:ind w:firstLine="851"/>
        <w:jc w:val="both"/>
        <w:rPr>
          <w:rFonts w:ascii="Arial" w:hAnsi="Arial" w:cs="Arial"/>
        </w:rPr>
      </w:pPr>
    </w:p>
    <w:p w14:paraId="7C079D48" w14:textId="1A6C24A8" w:rsidR="002210E4" w:rsidRDefault="00855A05" w:rsidP="00855A05">
      <w:pPr>
        <w:spacing w:after="0" w:line="360" w:lineRule="auto"/>
        <w:ind w:firstLine="851"/>
        <w:jc w:val="both"/>
        <w:rPr>
          <w:rFonts w:ascii="Arial" w:hAnsi="Arial" w:cs="Arial"/>
        </w:rPr>
      </w:pPr>
      <w:r w:rsidRPr="00855A05">
        <w:rPr>
          <w:rFonts w:ascii="Arial" w:hAnsi="Arial" w:cs="Arial"/>
        </w:rPr>
        <w:t>Sala das Comissões, 03 de novembro de 2025.</w:t>
      </w:r>
    </w:p>
    <w:p w14:paraId="41C70597" w14:textId="77777777" w:rsidR="00855A05" w:rsidRPr="00C200B1" w:rsidRDefault="00855A05" w:rsidP="00855A05">
      <w:pPr>
        <w:spacing w:after="0" w:line="360" w:lineRule="auto"/>
        <w:rPr>
          <w:rFonts w:ascii="Arial" w:hAnsi="Arial" w:cs="Arial"/>
        </w:rPr>
      </w:pPr>
    </w:p>
    <w:p w14:paraId="5A0F5BB3" w14:textId="31284707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7139A3E4" w14:textId="77777777" w:rsidR="00D709EC" w:rsidRDefault="00D709EC" w:rsidP="000D08EF">
      <w:pPr>
        <w:spacing w:after="0" w:line="360" w:lineRule="auto"/>
        <w:rPr>
          <w:rFonts w:ascii="Arial" w:hAnsi="Arial" w:cs="Arial"/>
        </w:rPr>
      </w:pPr>
    </w:p>
    <w:p w14:paraId="4D18086C" w14:textId="4B51658D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0CB1B8A7" w14:textId="77777777" w:rsidR="00D709EC" w:rsidRDefault="00D709EC" w:rsidP="000D08EF">
      <w:pPr>
        <w:spacing w:after="0" w:line="360" w:lineRule="auto"/>
        <w:rPr>
          <w:rFonts w:ascii="Arial" w:hAnsi="Arial" w:cs="Arial"/>
        </w:rPr>
      </w:pP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1865"/>
    <w:rsid w:val="000434FA"/>
    <w:rsid w:val="000438B6"/>
    <w:rsid w:val="00046936"/>
    <w:rsid w:val="000540F6"/>
    <w:rsid w:val="00066050"/>
    <w:rsid w:val="0007399A"/>
    <w:rsid w:val="000A640A"/>
    <w:rsid w:val="000B6243"/>
    <w:rsid w:val="000D08EF"/>
    <w:rsid w:val="000E3548"/>
    <w:rsid w:val="0017669E"/>
    <w:rsid w:val="00182D64"/>
    <w:rsid w:val="001B70F7"/>
    <w:rsid w:val="001D0BF3"/>
    <w:rsid w:val="0021535B"/>
    <w:rsid w:val="002210E4"/>
    <w:rsid w:val="00222732"/>
    <w:rsid w:val="002361F5"/>
    <w:rsid w:val="002C2137"/>
    <w:rsid w:val="002C77A5"/>
    <w:rsid w:val="002E4598"/>
    <w:rsid w:val="002E5AFE"/>
    <w:rsid w:val="003A2C38"/>
    <w:rsid w:val="003D2199"/>
    <w:rsid w:val="0040000A"/>
    <w:rsid w:val="00440E7C"/>
    <w:rsid w:val="004E150F"/>
    <w:rsid w:val="0050266D"/>
    <w:rsid w:val="00504117"/>
    <w:rsid w:val="005417B0"/>
    <w:rsid w:val="00545E84"/>
    <w:rsid w:val="0056202D"/>
    <w:rsid w:val="00570BA6"/>
    <w:rsid w:val="005733D4"/>
    <w:rsid w:val="00581719"/>
    <w:rsid w:val="00582543"/>
    <w:rsid w:val="005B1CCE"/>
    <w:rsid w:val="005B7451"/>
    <w:rsid w:val="005C1CCE"/>
    <w:rsid w:val="0064177D"/>
    <w:rsid w:val="00654A03"/>
    <w:rsid w:val="00655764"/>
    <w:rsid w:val="006C4CA6"/>
    <w:rsid w:val="006C64BA"/>
    <w:rsid w:val="006D03CF"/>
    <w:rsid w:val="00726E8C"/>
    <w:rsid w:val="00741C65"/>
    <w:rsid w:val="007473A6"/>
    <w:rsid w:val="007527D7"/>
    <w:rsid w:val="0077657F"/>
    <w:rsid w:val="00783409"/>
    <w:rsid w:val="007851CC"/>
    <w:rsid w:val="0080346E"/>
    <w:rsid w:val="0081607D"/>
    <w:rsid w:val="00827BD8"/>
    <w:rsid w:val="00855A05"/>
    <w:rsid w:val="0085786E"/>
    <w:rsid w:val="00877286"/>
    <w:rsid w:val="00890456"/>
    <w:rsid w:val="008B1FE0"/>
    <w:rsid w:val="008B31A1"/>
    <w:rsid w:val="008C290E"/>
    <w:rsid w:val="008C58EC"/>
    <w:rsid w:val="008E4C5B"/>
    <w:rsid w:val="008F26CD"/>
    <w:rsid w:val="008F3DB1"/>
    <w:rsid w:val="008F5B96"/>
    <w:rsid w:val="00947164"/>
    <w:rsid w:val="009845E0"/>
    <w:rsid w:val="009B29DB"/>
    <w:rsid w:val="00A00174"/>
    <w:rsid w:val="00A11A56"/>
    <w:rsid w:val="00A36F57"/>
    <w:rsid w:val="00A56C40"/>
    <w:rsid w:val="00A63AC0"/>
    <w:rsid w:val="00A670F0"/>
    <w:rsid w:val="00AA6B74"/>
    <w:rsid w:val="00AA6F1C"/>
    <w:rsid w:val="00AB5508"/>
    <w:rsid w:val="00AE7399"/>
    <w:rsid w:val="00B715EA"/>
    <w:rsid w:val="00B9335C"/>
    <w:rsid w:val="00BA0DC8"/>
    <w:rsid w:val="00BA78E3"/>
    <w:rsid w:val="00BB5113"/>
    <w:rsid w:val="00BD13E7"/>
    <w:rsid w:val="00BE4028"/>
    <w:rsid w:val="00BE4134"/>
    <w:rsid w:val="00C200B1"/>
    <w:rsid w:val="00C37DD4"/>
    <w:rsid w:val="00C5201A"/>
    <w:rsid w:val="00C7148A"/>
    <w:rsid w:val="00C75306"/>
    <w:rsid w:val="00C850CF"/>
    <w:rsid w:val="00D4712C"/>
    <w:rsid w:val="00D709EC"/>
    <w:rsid w:val="00D81D82"/>
    <w:rsid w:val="00E14868"/>
    <w:rsid w:val="00E227A2"/>
    <w:rsid w:val="00E22E7F"/>
    <w:rsid w:val="00E5117C"/>
    <w:rsid w:val="00EA2430"/>
    <w:rsid w:val="00EF2B03"/>
    <w:rsid w:val="00EF3924"/>
    <w:rsid w:val="00F549B4"/>
    <w:rsid w:val="00F62B25"/>
    <w:rsid w:val="00FA3D57"/>
    <w:rsid w:val="00FD36DC"/>
    <w:rsid w:val="00FE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437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3</cp:revision>
  <cp:lastPrinted>2022-02-14T20:52:00Z</cp:lastPrinted>
  <dcterms:created xsi:type="dcterms:W3CDTF">2025-10-13T17:27:00Z</dcterms:created>
  <dcterms:modified xsi:type="dcterms:W3CDTF">2025-11-03T19:32:00Z</dcterms:modified>
</cp:coreProperties>
</file>