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1322" w14:textId="6850B7C8" w:rsidR="00FB0590" w:rsidRDefault="002C48AC" w:rsidP="00FB0590">
      <w:pPr>
        <w:spacing w:after="0" w:line="240" w:lineRule="auto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>FUNDO</w:t>
      </w:r>
      <w:r w:rsidR="00DB6163">
        <w:rPr>
          <w:rFonts w:cs="Times New Roman"/>
          <w:b/>
          <w:sz w:val="44"/>
          <w:szCs w:val="44"/>
        </w:rPr>
        <w:t xml:space="preserve"> </w:t>
      </w:r>
      <w:r w:rsidR="00514B1E">
        <w:rPr>
          <w:rFonts w:cs="Times New Roman"/>
          <w:b/>
          <w:sz w:val="44"/>
          <w:szCs w:val="44"/>
        </w:rPr>
        <w:t>D</w:t>
      </w:r>
      <w:r w:rsidR="00E21D06">
        <w:rPr>
          <w:rFonts w:cs="Times New Roman"/>
          <w:b/>
          <w:sz w:val="44"/>
          <w:szCs w:val="44"/>
        </w:rPr>
        <w:t xml:space="preserve">E </w:t>
      </w:r>
      <w:r w:rsidR="00A73E33">
        <w:rPr>
          <w:rFonts w:cs="Times New Roman"/>
          <w:b/>
          <w:sz w:val="44"/>
          <w:szCs w:val="44"/>
        </w:rPr>
        <w:t>PREVIDÊNCIA SOCIAL</w:t>
      </w:r>
      <w:r w:rsidR="00DB6163">
        <w:rPr>
          <w:rFonts w:cs="Times New Roman"/>
          <w:b/>
          <w:sz w:val="44"/>
          <w:szCs w:val="44"/>
        </w:rPr>
        <w:t xml:space="preserve"> DO </w:t>
      </w:r>
      <w:r w:rsidR="00A73E33">
        <w:rPr>
          <w:rFonts w:cs="Times New Roman"/>
          <w:b/>
          <w:sz w:val="44"/>
          <w:szCs w:val="44"/>
        </w:rPr>
        <w:t>MUNICÍPIO DE SÃO MARTINHO</w:t>
      </w:r>
    </w:p>
    <w:p w14:paraId="0804AB7E" w14:textId="77777777" w:rsidR="00E21D06" w:rsidRPr="00FB0590" w:rsidRDefault="00E21D06" w:rsidP="00FB0590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5DDACA8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FDDD743" w14:textId="77777777" w:rsidR="00FB0590" w:rsidRPr="00FB0590" w:rsidRDefault="00FB0590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CD0A98C" w14:textId="77777777" w:rsidR="00310BB4" w:rsidRPr="00FB0590" w:rsidRDefault="00310BB4" w:rsidP="00255D2E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RELATÓRIO SEMESTRAL DE ANÁLISE DA ADERÊNCIA DA GESTÃO DOS RECURSOS DO RPPS</w:t>
      </w:r>
      <w:r w:rsidRPr="00FB0590">
        <w:rPr>
          <w:rFonts w:cs="Times New Roman"/>
          <w:b/>
          <w:szCs w:val="24"/>
        </w:rPr>
        <w:br/>
      </w:r>
      <w:r w:rsidRPr="00FB0590">
        <w:rPr>
          <w:rFonts w:cs="Times New Roman"/>
          <w:b/>
          <w:bCs/>
          <w:szCs w:val="24"/>
        </w:rPr>
        <w:t>1º SEMESTRE DE 2026</w:t>
      </w:r>
    </w:p>
    <w:p w14:paraId="201518E7" w14:textId="7201095A" w:rsidR="00310BB4" w:rsidRPr="00FB0590" w:rsidRDefault="00310BB4" w:rsidP="00255D2E">
      <w:pPr>
        <w:spacing w:after="0" w:line="240" w:lineRule="auto"/>
        <w:jc w:val="center"/>
        <w:rPr>
          <w:rFonts w:cs="Times New Roman"/>
          <w:b/>
          <w:szCs w:val="24"/>
        </w:rPr>
      </w:pPr>
      <w:r w:rsidRPr="00FB0590">
        <w:rPr>
          <w:rFonts w:cs="Times New Roman"/>
          <w:b/>
          <w:szCs w:val="24"/>
        </w:rPr>
        <w:br/>
      </w:r>
      <w:r w:rsidRPr="00FB0590">
        <w:rPr>
          <w:rFonts w:cs="Times New Roman"/>
          <w:b/>
          <w:bCs/>
          <w:szCs w:val="24"/>
        </w:rPr>
        <w:t>Aderência à Resolução CMN nº 5.272/2025 e à Política Anual de Investimentos de 2026</w:t>
      </w:r>
    </w:p>
    <w:p w14:paraId="44355E01" w14:textId="77777777" w:rsidR="00387D18" w:rsidRPr="00FB0590" w:rsidRDefault="00387D18" w:rsidP="00764BDE">
      <w:pPr>
        <w:tabs>
          <w:tab w:val="left" w:pos="6379"/>
        </w:tabs>
        <w:spacing w:after="0" w:line="240" w:lineRule="auto"/>
        <w:jc w:val="center"/>
        <w:rPr>
          <w:rFonts w:cs="Times New Roman"/>
          <w:b/>
          <w:szCs w:val="24"/>
        </w:rPr>
      </w:pPr>
    </w:p>
    <w:p w14:paraId="4E643650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5846EC1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499DE31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DEDF636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3D0B4B8F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55E93E6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85CCE6C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B67E66B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BFF60E6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F354314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95B22D7" w14:textId="77777777" w:rsidR="00387D18" w:rsidRPr="00FB0590" w:rsidRDefault="00387D18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8548460" w14:textId="5EFDE1A2" w:rsidR="00387D18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  <w:r w:rsidRPr="00FB0590">
        <w:rPr>
          <w:rFonts w:cs="Times New Roman"/>
          <w:b/>
          <w:szCs w:val="24"/>
        </w:rPr>
        <w:t>JULHO DE 2026</w:t>
      </w:r>
    </w:p>
    <w:p w14:paraId="5D440791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E698045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ABAC74E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F56302F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36680C9D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8CB5F36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DB4C2A1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968A514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4B95C65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6BC4B69F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FF7AB04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618289CD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AA5426C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6B95ADCD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203FDB4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73DC97D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45F96EF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923E0C5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8B37DAB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6A02856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EA80955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C2B7B63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F433E32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7E1EBBF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D65241F" w14:textId="77777777" w:rsidR="00860E57" w:rsidRPr="00FB0590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D1983ED" w14:textId="77777777" w:rsidR="00860E57" w:rsidRDefault="00860E57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8A0F18C" w14:textId="77777777" w:rsidR="00514B1E" w:rsidRDefault="00514B1E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E62B92D" w14:textId="77777777" w:rsidR="00514B1E" w:rsidRDefault="00514B1E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15379849" w14:textId="77777777" w:rsidR="00DA11A9" w:rsidRDefault="00DA11A9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9AB882C" w14:textId="77777777" w:rsidR="00123965" w:rsidRPr="00FB0590" w:rsidRDefault="00123965" w:rsidP="00255D2E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7D670A6C" w14:textId="77777777" w:rsidR="00387D18" w:rsidRPr="00FB0590" w:rsidRDefault="009A4746" w:rsidP="00255D2E">
      <w:pPr>
        <w:rPr>
          <w:rFonts w:cs="Times New Roman"/>
          <w:b/>
          <w:bCs/>
          <w:szCs w:val="24"/>
        </w:rPr>
      </w:pPr>
      <w:bookmarkStart w:id="0" w:name="_Toc123804038"/>
      <w:r w:rsidRPr="00FB0590">
        <w:rPr>
          <w:rFonts w:cs="Times New Roman"/>
          <w:b/>
          <w:bCs/>
          <w:szCs w:val="24"/>
        </w:rPr>
        <w:lastRenderedPageBreak/>
        <w:t>INTRODUÇÃO</w:t>
      </w:r>
      <w:bookmarkEnd w:id="0"/>
    </w:p>
    <w:p w14:paraId="7507D03C" w14:textId="77777777" w:rsidR="00387D18" w:rsidRPr="00FB0590" w:rsidRDefault="00387D18" w:rsidP="00860E57">
      <w:pPr>
        <w:jc w:val="both"/>
      </w:pPr>
    </w:p>
    <w:p w14:paraId="47CC8981" w14:textId="59672971" w:rsidR="00387D18" w:rsidRPr="00FB0590" w:rsidRDefault="009A4746" w:rsidP="00860E57">
      <w:pPr>
        <w:jc w:val="both"/>
        <w:rPr>
          <w:b/>
          <w:bCs/>
          <w:szCs w:val="20"/>
        </w:rPr>
      </w:pPr>
      <w:r w:rsidRPr="00FB0590">
        <w:t xml:space="preserve">Em atendimento às determinações legais — </w:t>
      </w:r>
      <w:r w:rsidRPr="00FB0590">
        <w:rPr>
          <w:b/>
          <w:bCs/>
        </w:rPr>
        <w:t xml:space="preserve">especialmente o art. 129 da Portaria 1.467 do MTP, de 2 de junho de 2022 </w:t>
      </w:r>
      <w:r w:rsidRPr="00FB0590">
        <w:t>— apresentamos o Relatório de Análise da Aderência da Gestão dos Recursos do RPPS, conforme a Resolução CMN </w:t>
      </w:r>
      <w:r w:rsidR="00860E57" w:rsidRPr="00FB0590">
        <w:t>5.272/</w:t>
      </w:r>
      <w:r w:rsidR="00355D0E" w:rsidRPr="00FB0590">
        <w:t>2026</w:t>
      </w:r>
      <w:r w:rsidR="00860E57" w:rsidRPr="00FB0590">
        <w:t xml:space="preserve"> </w:t>
      </w:r>
      <w:r w:rsidRPr="00FB0590">
        <w:t>e a Política de Investimentos do 1º semestre de 202</w:t>
      </w:r>
      <w:r w:rsidR="00860E57" w:rsidRPr="00FB0590">
        <w:t>6</w:t>
      </w:r>
      <w:r w:rsidRPr="00FB0590">
        <w:t xml:space="preserve"> do </w:t>
      </w:r>
      <w:r w:rsidR="002C48AC">
        <w:rPr>
          <w:b/>
          <w:bCs/>
          <w:szCs w:val="20"/>
        </w:rPr>
        <w:t xml:space="preserve">FUNDO DE </w:t>
      </w:r>
      <w:r w:rsidR="00A73E33">
        <w:rPr>
          <w:b/>
          <w:bCs/>
          <w:szCs w:val="20"/>
        </w:rPr>
        <w:t>PREVIDÊNCIA SOCIAL</w:t>
      </w:r>
      <w:r w:rsidR="00A43E30">
        <w:rPr>
          <w:b/>
          <w:bCs/>
          <w:szCs w:val="20"/>
        </w:rPr>
        <w:t xml:space="preserve"> DO</w:t>
      </w:r>
      <w:r w:rsidR="002C48AC">
        <w:rPr>
          <w:b/>
          <w:bCs/>
          <w:szCs w:val="20"/>
        </w:rPr>
        <w:t xml:space="preserve"> </w:t>
      </w:r>
      <w:r w:rsidR="00A73E33">
        <w:rPr>
          <w:b/>
          <w:bCs/>
          <w:szCs w:val="20"/>
        </w:rPr>
        <w:t>MUNICÍPIO DE SÃO MARTINHO</w:t>
      </w:r>
      <w:r w:rsidR="00FB0590" w:rsidRPr="00FB0590">
        <w:rPr>
          <w:b/>
          <w:bCs/>
          <w:szCs w:val="20"/>
        </w:rPr>
        <w:t xml:space="preserve">, </w:t>
      </w:r>
      <w:r w:rsidRPr="00FB0590">
        <w:rPr>
          <w:szCs w:val="20"/>
        </w:rPr>
        <w:t xml:space="preserve">inscrito no CNPJ sob nº </w:t>
      </w:r>
      <w:r w:rsidR="00A73E33">
        <w:rPr>
          <w:szCs w:val="20"/>
        </w:rPr>
        <w:t>13.044.424/0001-08</w:t>
      </w:r>
      <w:r w:rsidR="00FB0590" w:rsidRPr="00FB0590">
        <w:rPr>
          <w:szCs w:val="20"/>
        </w:rPr>
        <w:t>.</w:t>
      </w:r>
    </w:p>
    <w:p w14:paraId="0CC3EF83" w14:textId="77777777" w:rsidR="00387D18" w:rsidRPr="00FB0590" w:rsidRDefault="009A4746" w:rsidP="00860E57">
      <w:pPr>
        <w:jc w:val="both"/>
        <w:rPr>
          <w:b/>
          <w:bCs/>
        </w:rPr>
      </w:pPr>
      <w:r w:rsidRPr="00FB0590">
        <w:rPr>
          <w:b/>
          <w:bCs/>
        </w:rPr>
        <w:t>Objetivo do relatório:</w:t>
      </w:r>
    </w:p>
    <w:p w14:paraId="53C8194E" w14:textId="77777777" w:rsidR="00387D18" w:rsidRPr="00FB0590" w:rsidRDefault="009A4746" w:rsidP="00860E57">
      <w:pPr>
        <w:jc w:val="both"/>
      </w:pPr>
      <w:r w:rsidRPr="00FB0590">
        <w:t>Acompanhar, analisar e verificar se as aplicações estão em conformidade com a legislação vigente e com a Política de Investimentos. A gestão eficaz dos riscos é essencial para subsidiar a tomada de decisões, melhorar o desempenho institucional, prevenir perdas e gerenciar incidentes.</w:t>
      </w:r>
    </w:p>
    <w:p w14:paraId="51901A7D" w14:textId="73CFFE25" w:rsidR="00860E57" w:rsidRPr="00FB0590" w:rsidRDefault="00860E57" w:rsidP="00860E57">
      <w:pPr>
        <w:jc w:val="both"/>
        <w:rPr>
          <w:b/>
          <w:bCs/>
        </w:rPr>
      </w:pPr>
      <w:r w:rsidRPr="00FB0590">
        <w:rPr>
          <w:b/>
          <w:bCs/>
        </w:rPr>
        <w:t xml:space="preserve">A Política de Investimentos do RPPS para o exercício de 2026 foi aprovada em </w:t>
      </w:r>
      <w:r w:rsidR="00A73E33">
        <w:rPr>
          <w:b/>
          <w:bCs/>
        </w:rPr>
        <w:t>30</w:t>
      </w:r>
      <w:r w:rsidR="00FB0590">
        <w:rPr>
          <w:b/>
          <w:bCs/>
        </w:rPr>
        <w:t>/</w:t>
      </w:r>
      <w:r w:rsidR="00DB6163">
        <w:rPr>
          <w:b/>
          <w:bCs/>
        </w:rPr>
        <w:t>1</w:t>
      </w:r>
      <w:r w:rsidR="00A73E33">
        <w:rPr>
          <w:b/>
          <w:bCs/>
        </w:rPr>
        <w:t>0</w:t>
      </w:r>
      <w:r w:rsidRPr="00FB0590">
        <w:rPr>
          <w:b/>
          <w:bCs/>
        </w:rPr>
        <w:t>/</w:t>
      </w:r>
      <w:r w:rsidR="00355D0E" w:rsidRPr="00FB0590">
        <w:rPr>
          <w:b/>
          <w:bCs/>
        </w:rPr>
        <w:t>202</w:t>
      </w:r>
      <w:r w:rsidR="00DB6163">
        <w:rPr>
          <w:b/>
          <w:bCs/>
        </w:rPr>
        <w:t>5</w:t>
      </w:r>
      <w:r w:rsidRPr="00FB0590">
        <w:rPr>
          <w:b/>
          <w:bCs/>
        </w:rPr>
        <w:t xml:space="preserve"> e posteriormente retificada dentro do prazo legal, em razão da publicação da Resolução CMN nº 5.272/</w:t>
      </w:r>
      <w:r w:rsidR="00355D0E" w:rsidRPr="00FB0590">
        <w:rPr>
          <w:b/>
          <w:bCs/>
        </w:rPr>
        <w:t>2026</w:t>
      </w:r>
      <w:r w:rsidRPr="00FB0590">
        <w:rPr>
          <w:b/>
          <w:bCs/>
        </w:rPr>
        <w:t>, adequando-se às novas disposições normativas. A adequação da política até 1º de fevereiro de 2026 observou o disposto na regulamentação editada pelo Ministério da Previdência Social.</w:t>
      </w:r>
    </w:p>
    <w:p w14:paraId="2055030E" w14:textId="42D484C9" w:rsidR="00860E57" w:rsidRPr="00FB0590" w:rsidRDefault="00860E57" w:rsidP="00860E57">
      <w:pPr>
        <w:jc w:val="both"/>
      </w:pPr>
      <w:r w:rsidRPr="00FB0590">
        <w:t>A Política estabelece que os recursos do RPPS devem ser aplicados em conformidade com a Resolução CMN nº 5.272/</w:t>
      </w:r>
      <w:r w:rsidR="00355D0E" w:rsidRPr="00FB0590">
        <w:t>2026</w:t>
      </w:r>
      <w:r w:rsidRPr="00FB0590">
        <w:t xml:space="preserve"> e com a Portaria MTP nº 1.467/2022 (com suas alterações), observando os princípios de segurança, rentabilidade, solvência, liquidez, adequação às obrigações atuariais, motivação e transparência, buscando a preservação do equilíbrio financeiro e atuarial do regime.</w:t>
      </w:r>
    </w:p>
    <w:p w14:paraId="7862FB29" w14:textId="3514A3A8" w:rsidR="00860E57" w:rsidRPr="00FB0590" w:rsidRDefault="00860E57" w:rsidP="00860E57">
      <w:pPr>
        <w:jc w:val="both"/>
      </w:pPr>
      <w:r w:rsidRPr="00FB0590">
        <w:t>As aplicações financeiras devem respeitar não apenas os limites e requisitos previstos na Resolução CMN nº 5.272/</w:t>
      </w:r>
      <w:r w:rsidR="00355D0E" w:rsidRPr="00FB0590">
        <w:t>2026</w:t>
      </w:r>
      <w:r w:rsidRPr="00FB0590">
        <w:t>, mas também o nível de governança institucional (Pró-Gestão RPPS) alcançado pelo regime, uma vez que determinados segmentos e tipos de ativos possuem exigências específicas de certificação institucional para a realização de novos aportes.</w:t>
      </w:r>
    </w:p>
    <w:p w14:paraId="084A5440" w14:textId="1FDB4ED0" w:rsidR="00860E57" w:rsidRPr="00FB0590" w:rsidRDefault="00860E57" w:rsidP="00860E57">
      <w:pPr>
        <w:jc w:val="both"/>
      </w:pPr>
      <w:r w:rsidRPr="00FB0590">
        <w:t>Importante destacar que a eventual identificação de algum investimento como "Desenquadrado" em relação ao nível de governança não implica a obrigatoriedade de desinvestimento imediato. A própria Resolução CMN nº 5.272/</w:t>
      </w:r>
      <w:r w:rsidR="00355D0E" w:rsidRPr="00FB0590">
        <w:t>2026</w:t>
      </w:r>
      <w:r w:rsidRPr="00FB0590">
        <w:t xml:space="preserve"> prevê um prazo de adaptação de até dois anos, contado de sua entrada em vigor (2 de fevereiro de 2026), permitindo que a adequação seja realizada até fevereiro de 2028. Nesse período, o RPPS poderá optar pelo resgate gradual dos recursos ou, alternativamente, buscar a elevação do seu nível de certificação institucional (Pró-Gestão), caso essa seja a estratégia definida pela administração do regime.</w:t>
      </w:r>
    </w:p>
    <w:p w14:paraId="268ED492" w14:textId="77777777" w:rsidR="00860E57" w:rsidRDefault="00860E57" w:rsidP="00860E57">
      <w:pPr>
        <w:jc w:val="both"/>
      </w:pPr>
      <w:r w:rsidRPr="00FB0590">
        <w:t>Ressalta-se, ainda, que os recursos destinados ao custeio da taxa de administração devem permanecer segregados dos recursos destinados ao pagamento dos benefícios previdenciários, sendo mantidos em conta bancária específica e individualizada, distinta das demais contas do RPPS, em observância às normas aplicáveis e aos princípios da transparência e da correta gestão dos recursos previdenciários.</w:t>
      </w:r>
    </w:p>
    <w:p w14:paraId="064297DD" w14:textId="77777777" w:rsidR="009B7D2A" w:rsidRDefault="009B7D2A" w:rsidP="00860E57">
      <w:pPr>
        <w:jc w:val="both"/>
      </w:pPr>
    </w:p>
    <w:p w14:paraId="55755636" w14:textId="77777777" w:rsidR="002C48AC" w:rsidRDefault="002C48AC" w:rsidP="00860E57">
      <w:pPr>
        <w:jc w:val="both"/>
      </w:pPr>
    </w:p>
    <w:p w14:paraId="4F78F22D" w14:textId="206BE7FE" w:rsidR="00387D18" w:rsidRPr="002B3A3D" w:rsidRDefault="008007AA" w:rsidP="00540F63">
      <w:pPr>
        <w:rPr>
          <w:b/>
          <w:bCs/>
        </w:rPr>
      </w:pPr>
      <w:r>
        <w:rPr>
          <w:b/>
          <w:bCs/>
        </w:rPr>
        <w:lastRenderedPageBreak/>
        <w:t>E</w:t>
      </w:r>
      <w:r w:rsidR="00DA6688" w:rsidRPr="00FB0590">
        <w:rPr>
          <w:b/>
          <w:bCs/>
        </w:rPr>
        <w:t>NQUADRAMENTO APROVADO NA PI EM CONFORMIDADE COM A RESOLUÇÃO 5272</w:t>
      </w:r>
    </w:p>
    <w:p w14:paraId="170C2C80" w14:textId="5AFA12E7" w:rsidR="00387D18" w:rsidRPr="00FB0590" w:rsidRDefault="00A73E33" w:rsidP="00540F63">
      <w:r w:rsidRPr="00A73E33">
        <w:rPr>
          <w:noProof/>
        </w:rPr>
        <w:drawing>
          <wp:inline distT="0" distB="0" distL="0" distR="0" wp14:anchorId="65724D17" wp14:editId="77957CF0">
            <wp:extent cx="5760085" cy="4288790"/>
            <wp:effectExtent l="0" t="0" r="0" b="0"/>
            <wp:docPr id="19006387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9DE48" w14:textId="4EC7E9C9" w:rsidR="00387D18" w:rsidRPr="00FB0590" w:rsidRDefault="00860E57" w:rsidP="0033341B">
      <w:r w:rsidRPr="00FB0590">
        <w:t>Imagem 1</w:t>
      </w:r>
      <w:r w:rsidR="00321ACB" w:rsidRPr="00FB0590">
        <w:t xml:space="preserve">- </w:t>
      </w:r>
      <w:r w:rsidRPr="00FB0590">
        <w:t>fonte</w:t>
      </w:r>
      <w:r w:rsidR="00355D0E" w:rsidRPr="00FB0590">
        <w:t>:</w:t>
      </w:r>
      <w:r w:rsidRPr="00FB0590">
        <w:t xml:space="preserve"> PI</w:t>
      </w:r>
    </w:p>
    <w:p w14:paraId="5B33649E" w14:textId="77777777" w:rsidR="00860E57" w:rsidRPr="00FB0590" w:rsidRDefault="00860E57" w:rsidP="0033341B"/>
    <w:p w14:paraId="75C134DD" w14:textId="16E46ADA" w:rsidR="00387D18" w:rsidRPr="00FB0590" w:rsidRDefault="00DA6688" w:rsidP="00764BDE">
      <w:pPr>
        <w:jc w:val="center"/>
        <w:rPr>
          <w:b/>
          <w:bCs/>
        </w:rPr>
      </w:pPr>
      <w:r w:rsidRPr="00FB0590">
        <w:rPr>
          <w:b/>
          <w:bCs/>
        </w:rPr>
        <w:t>RENDIMENTOS</w:t>
      </w:r>
      <w:r w:rsidRPr="00FB0590">
        <w:rPr>
          <w:b/>
          <w:bCs/>
          <w:i/>
          <w:iCs/>
        </w:rPr>
        <w:t xml:space="preserve"> VERSUS A</w:t>
      </w:r>
      <w:r w:rsidRPr="00FB0590">
        <w:rPr>
          <w:b/>
          <w:bCs/>
        </w:rPr>
        <w:t xml:space="preserve"> PI</w:t>
      </w:r>
    </w:p>
    <w:p w14:paraId="1015F1C8" w14:textId="1BB9087A" w:rsidR="00387D18" w:rsidRPr="00FB0590" w:rsidRDefault="009A4746" w:rsidP="00CF33B9">
      <w:pPr>
        <w:jc w:val="both"/>
      </w:pPr>
      <w:r w:rsidRPr="00FB0590">
        <w:t>A Política de Investimentos do RPPS para o exercício de 202</w:t>
      </w:r>
      <w:r w:rsidR="00DA6688" w:rsidRPr="00FB0590">
        <w:t>6</w:t>
      </w:r>
      <w:r w:rsidRPr="00FB0590">
        <w:t xml:space="preserve"> observou os princípios estabelecidos pela Resolução </w:t>
      </w:r>
      <w:r w:rsidR="00DA6688" w:rsidRPr="00FB0590">
        <w:t>CMN 5.272/</w:t>
      </w:r>
      <w:r w:rsidR="00355D0E" w:rsidRPr="00FB0590">
        <w:t>2026</w:t>
      </w:r>
      <w:r w:rsidRPr="00FB0590">
        <w:t xml:space="preserve"> e pela Portaria MTP nº 1.467, de 2 de junho de 2022. Tais diretrizes exigem que as aplicações reúnam os princípios de segurança, rentabilidade, solvência, liquidez, motivação, adequação à natureza das obrigações e transparência.</w:t>
      </w:r>
    </w:p>
    <w:p w14:paraId="34E943EC" w14:textId="0C42130E" w:rsidR="00387D18" w:rsidRPr="00FB0590" w:rsidRDefault="009A4746" w:rsidP="00CF33B9">
      <w:pPr>
        <w:jc w:val="both"/>
      </w:pPr>
      <w:r w:rsidRPr="00FB0590">
        <w:t>É fundamental que os valores referentes à taxa de administração sejam segregados dos recursos destinados ao pagamento de benefícios, mantidos em conta individual e distinta, de acordo com os requisitos normativos de segregação e transparência.</w:t>
      </w:r>
    </w:p>
    <w:p w14:paraId="73DF8C66" w14:textId="77777777" w:rsidR="00387D18" w:rsidRPr="00FB0590" w:rsidRDefault="009A4746" w:rsidP="00764BDE">
      <w:pPr>
        <w:tabs>
          <w:tab w:val="left" w:pos="1418"/>
          <w:tab w:val="left" w:pos="1985"/>
        </w:tabs>
        <w:spacing w:after="0"/>
        <w:rPr>
          <w:b/>
          <w:bCs/>
        </w:rPr>
      </w:pPr>
      <w:r w:rsidRPr="00FB0590">
        <w:rPr>
          <w:b/>
          <w:bCs/>
        </w:rPr>
        <w:t>Objetivo da Política de Investimentos</w:t>
      </w:r>
    </w:p>
    <w:p w14:paraId="621A12D3" w14:textId="77777777" w:rsidR="00387D18" w:rsidRPr="00FB0590" w:rsidRDefault="009A4746" w:rsidP="00764BDE">
      <w:pPr>
        <w:tabs>
          <w:tab w:val="left" w:pos="1418"/>
          <w:tab w:val="left" w:pos="1985"/>
        </w:tabs>
        <w:spacing w:after="0"/>
        <w:rPr>
          <w:b/>
          <w:bCs/>
        </w:rPr>
      </w:pPr>
      <w:r w:rsidRPr="00FB0590">
        <w:t>Cumprir os princípios normativos, assegurando:</w:t>
      </w:r>
    </w:p>
    <w:p w14:paraId="1D51068A" w14:textId="77777777" w:rsidR="00387D18" w:rsidRPr="00FB0590" w:rsidRDefault="009A4746" w:rsidP="00764BDE">
      <w:pPr>
        <w:numPr>
          <w:ilvl w:val="3"/>
          <w:numId w:val="4"/>
        </w:numPr>
        <w:tabs>
          <w:tab w:val="clear" w:pos="1440"/>
          <w:tab w:val="left" w:pos="1418"/>
          <w:tab w:val="left" w:pos="1985"/>
        </w:tabs>
        <w:spacing w:after="0"/>
        <w:rPr>
          <w:b/>
          <w:bCs/>
        </w:rPr>
      </w:pPr>
      <w:r w:rsidRPr="00FB0590">
        <w:t>Segurança: preservação do patrimônio institucional.</w:t>
      </w:r>
    </w:p>
    <w:p w14:paraId="4874A676" w14:textId="77777777" w:rsidR="00387D18" w:rsidRPr="00FB0590" w:rsidRDefault="009A4746" w:rsidP="00764BDE">
      <w:pPr>
        <w:numPr>
          <w:ilvl w:val="3"/>
          <w:numId w:val="4"/>
        </w:numPr>
        <w:tabs>
          <w:tab w:val="clear" w:pos="1440"/>
          <w:tab w:val="left" w:pos="1418"/>
          <w:tab w:val="left" w:pos="1985"/>
        </w:tabs>
        <w:spacing w:after="0"/>
        <w:rPr>
          <w:b/>
          <w:bCs/>
        </w:rPr>
      </w:pPr>
      <w:r w:rsidRPr="00FB0590">
        <w:t>Rentabilidade: retorno adequado dentro da prudência financeira.</w:t>
      </w:r>
    </w:p>
    <w:p w14:paraId="3E22DDE6" w14:textId="77777777" w:rsidR="00387D18" w:rsidRPr="00FB0590" w:rsidRDefault="009A4746" w:rsidP="00764BDE">
      <w:pPr>
        <w:numPr>
          <w:ilvl w:val="3"/>
          <w:numId w:val="4"/>
        </w:numPr>
        <w:tabs>
          <w:tab w:val="clear" w:pos="1440"/>
          <w:tab w:val="left" w:pos="1418"/>
          <w:tab w:val="left" w:pos="1985"/>
        </w:tabs>
        <w:spacing w:after="0"/>
        <w:rPr>
          <w:b/>
          <w:bCs/>
        </w:rPr>
      </w:pPr>
      <w:r w:rsidRPr="00FB0590">
        <w:t>Solvência e Liquidez: capacidade de honrar os compromissos atuariais.</w:t>
      </w:r>
    </w:p>
    <w:p w14:paraId="5AA7A302" w14:textId="77777777" w:rsidR="00387D18" w:rsidRPr="00FB0590" w:rsidRDefault="009A4746" w:rsidP="00764BDE">
      <w:pPr>
        <w:numPr>
          <w:ilvl w:val="3"/>
          <w:numId w:val="4"/>
        </w:numPr>
        <w:tabs>
          <w:tab w:val="clear" w:pos="1440"/>
          <w:tab w:val="left" w:pos="1418"/>
          <w:tab w:val="left" w:pos="1985"/>
        </w:tabs>
        <w:spacing w:after="0"/>
        <w:rPr>
          <w:b/>
          <w:bCs/>
        </w:rPr>
      </w:pPr>
      <w:r w:rsidRPr="00FB0590">
        <w:t>Transparência e Motivação: clareza nas decisões e coerência com os objetivos previdenciários.</w:t>
      </w:r>
    </w:p>
    <w:p w14:paraId="79B7B864" w14:textId="77777777" w:rsidR="00CF33B9" w:rsidRPr="00FB0590" w:rsidRDefault="00CF33B9" w:rsidP="00CF33B9">
      <w:pPr>
        <w:tabs>
          <w:tab w:val="left" w:pos="1418"/>
          <w:tab w:val="left" w:pos="1985"/>
        </w:tabs>
        <w:spacing w:after="0"/>
        <w:ind w:left="1440"/>
        <w:rPr>
          <w:b/>
          <w:bCs/>
        </w:rPr>
      </w:pPr>
    </w:p>
    <w:p w14:paraId="6C25777D" w14:textId="77777777" w:rsidR="00387D18" w:rsidRDefault="009A4746" w:rsidP="00271EB7">
      <w:pPr>
        <w:tabs>
          <w:tab w:val="left" w:pos="1418"/>
          <w:tab w:val="left" w:pos="1985"/>
        </w:tabs>
        <w:spacing w:after="0"/>
      </w:pPr>
      <w:r w:rsidRPr="00FB0590">
        <w:lastRenderedPageBreak/>
        <w:t>Foram observadas rigorosamente essas diretrizes não apenas na aplicação, mas também na manutenção ou eventual desinvestimento dos recursos.</w:t>
      </w:r>
    </w:p>
    <w:p w14:paraId="6D45AB29" w14:textId="77777777" w:rsidR="00A43E30" w:rsidRPr="00FB0590" w:rsidRDefault="00A43E30" w:rsidP="00271EB7">
      <w:pPr>
        <w:tabs>
          <w:tab w:val="left" w:pos="1418"/>
          <w:tab w:val="left" w:pos="1985"/>
        </w:tabs>
        <w:spacing w:after="0"/>
      </w:pPr>
    </w:p>
    <w:p w14:paraId="7465E899" w14:textId="77777777" w:rsidR="00387D18" w:rsidRPr="00FB0590" w:rsidRDefault="009A4746" w:rsidP="002B3A3D">
      <w:pPr>
        <w:ind w:left="1440" w:firstLine="720"/>
        <w:rPr>
          <w:b/>
          <w:bCs/>
        </w:rPr>
      </w:pPr>
      <w:r w:rsidRPr="00FB0590">
        <w:rPr>
          <w:b/>
          <w:bCs/>
        </w:rPr>
        <w:t>RENDIMENTOS DO PRIMEIRO SEMESTRE</w:t>
      </w:r>
    </w:p>
    <w:p w14:paraId="04992EE5" w14:textId="21846DF2" w:rsidR="00387D18" w:rsidRPr="00FB0590" w:rsidRDefault="009A4746" w:rsidP="00E507F4">
      <w:r w:rsidRPr="00FB0590">
        <w:t>Total de rendimentos apurados nas aplicações financeiras do 1º semestre de 202</w:t>
      </w:r>
      <w:r w:rsidR="00355D0E" w:rsidRPr="00FB0590">
        <w:t>6</w:t>
      </w:r>
      <w:r w:rsidRPr="00FB0590">
        <w:t xml:space="preserve"> foi de </w:t>
      </w:r>
      <w:r w:rsidR="002B3A3D" w:rsidRPr="002B3A3D">
        <w:t xml:space="preserve">R$ </w:t>
      </w:r>
      <w:r w:rsidR="00A73E33">
        <w:t>2.587.734,15</w:t>
      </w:r>
      <w:r w:rsidRPr="00FB0590">
        <w:t xml:space="preserve">. O melhor mês de rendimento foi </w:t>
      </w:r>
      <w:r w:rsidR="00AA4433">
        <w:rPr>
          <w:b/>
          <w:bCs/>
        </w:rPr>
        <w:t>MARÇO</w:t>
      </w:r>
      <w:r w:rsidRPr="00FB0590">
        <w:t xml:space="preserve">, com ganho de </w:t>
      </w:r>
      <w:bookmarkStart w:id="1" w:name="_Toc123804054"/>
      <w:r w:rsidR="002B3A3D" w:rsidRPr="002B3A3D">
        <w:t xml:space="preserve">R$ </w:t>
      </w:r>
      <w:r w:rsidR="00A73E33">
        <w:t>469.638,43</w:t>
      </w:r>
      <w:r w:rsidR="00E533B9">
        <w:t>.</w:t>
      </w:r>
    </w:p>
    <w:p w14:paraId="03A8BDAB" w14:textId="77777777" w:rsidR="00387D18" w:rsidRPr="00FB0590" w:rsidRDefault="009A4746" w:rsidP="002B3A3D">
      <w:pPr>
        <w:ind w:left="1440" w:firstLine="720"/>
        <w:jc w:val="both"/>
        <w:rPr>
          <w:b/>
          <w:bCs/>
        </w:rPr>
      </w:pPr>
      <w:r w:rsidRPr="00FB0590">
        <w:rPr>
          <w:b/>
          <w:bCs/>
        </w:rPr>
        <w:t>COMPOSIÇÃO DE INVESTIMENTOS</w:t>
      </w:r>
      <w:bookmarkEnd w:id="1"/>
      <w:r w:rsidRPr="00FB0590">
        <w:rPr>
          <w:b/>
          <w:bCs/>
        </w:rPr>
        <w:t xml:space="preserve"> E BANCOS</w:t>
      </w:r>
    </w:p>
    <w:p w14:paraId="7B80FE9E" w14:textId="48BCDE03" w:rsidR="00387D18" w:rsidRPr="00FB0590" w:rsidRDefault="009A4746" w:rsidP="002B3A3D">
      <w:pPr>
        <w:spacing w:after="0"/>
        <w:ind w:firstLine="1134"/>
        <w:jc w:val="both"/>
        <w:rPr>
          <w:rFonts w:cs="Times New Roman"/>
          <w:szCs w:val="24"/>
          <w:lang w:eastAsia="pt-BR"/>
        </w:rPr>
      </w:pPr>
      <w:r w:rsidRPr="00FB0590">
        <w:rPr>
          <w:rFonts w:cs="Times New Roman"/>
          <w:szCs w:val="24"/>
          <w:lang w:eastAsia="pt-BR"/>
        </w:rPr>
        <w:t xml:space="preserve">Os recursos financeiros do RPPS foram geridos em conformidade com a Política de Investimentos, a Resolução em vigor e por meio de Instituições Financeiras previamente credenciadas. </w:t>
      </w:r>
    </w:p>
    <w:p w14:paraId="1EB4E7C4" w14:textId="22F0EBFE" w:rsidR="00387D18" w:rsidRDefault="009A4746" w:rsidP="002B3A3D">
      <w:pPr>
        <w:spacing w:after="0"/>
        <w:ind w:firstLine="1134"/>
        <w:jc w:val="both"/>
        <w:rPr>
          <w:rFonts w:cs="Times New Roman"/>
          <w:szCs w:val="24"/>
          <w:lang w:eastAsia="pt-BR"/>
        </w:rPr>
      </w:pPr>
      <w:r w:rsidRPr="00FB0590">
        <w:rPr>
          <w:rFonts w:cs="Times New Roman"/>
          <w:szCs w:val="24"/>
          <w:lang w:eastAsia="pt-BR"/>
        </w:rPr>
        <w:t>O montante do capital do RPPS apurado em 30/06/202</w:t>
      </w:r>
      <w:r w:rsidR="00355D0E" w:rsidRPr="00FB0590">
        <w:rPr>
          <w:rFonts w:cs="Times New Roman"/>
          <w:szCs w:val="24"/>
          <w:lang w:eastAsia="pt-BR"/>
        </w:rPr>
        <w:t>6</w:t>
      </w:r>
      <w:r w:rsidRPr="00FB0590">
        <w:rPr>
          <w:rFonts w:cs="Times New Roman"/>
          <w:szCs w:val="24"/>
          <w:lang w:eastAsia="pt-BR"/>
        </w:rPr>
        <w:t xml:space="preserve"> foi de R$ </w:t>
      </w:r>
      <w:r w:rsidR="00A73E33">
        <w:rPr>
          <w:rFonts w:cs="Times New Roman"/>
          <w:szCs w:val="24"/>
          <w:lang w:eastAsia="pt-BR"/>
        </w:rPr>
        <w:t>40.456.039,07</w:t>
      </w:r>
      <w:r w:rsidRPr="00FB0590">
        <w:rPr>
          <w:rFonts w:cs="Times New Roman"/>
          <w:szCs w:val="24"/>
          <w:lang w:eastAsia="pt-BR"/>
        </w:rPr>
        <w:t>, aplicado em fundos de investimento e mantido em conta corrente, conforme distribuição a seguir:</w:t>
      </w:r>
    </w:p>
    <w:p w14:paraId="7FBB5112" w14:textId="20FA7C9B" w:rsidR="00055808" w:rsidRPr="00FB0590" w:rsidRDefault="00055808" w:rsidP="00A16CA4">
      <w:pPr>
        <w:spacing w:after="0"/>
        <w:ind w:firstLine="1134"/>
        <w:jc w:val="right"/>
        <w:rPr>
          <w:rFonts w:cs="Times New Roman"/>
          <w:szCs w:val="24"/>
          <w:lang w:eastAsia="pt-BR"/>
        </w:rPr>
      </w:pPr>
    </w:p>
    <w:p w14:paraId="1D2C0121" w14:textId="1F407944" w:rsidR="00387D18" w:rsidRDefault="00A73E33" w:rsidP="00933841">
      <w:pPr>
        <w:spacing w:after="0"/>
        <w:rPr>
          <w:rFonts w:cs="Times New Roman"/>
          <w:szCs w:val="24"/>
          <w:lang w:eastAsia="pt-BR"/>
        </w:rPr>
      </w:pPr>
      <w:r>
        <w:rPr>
          <w:noProof/>
        </w:rPr>
        <w:drawing>
          <wp:inline distT="0" distB="0" distL="0" distR="0" wp14:anchorId="0778D67C" wp14:editId="46C40194">
            <wp:extent cx="5760085" cy="2687955"/>
            <wp:effectExtent l="0" t="0" r="0" b="0"/>
            <wp:docPr id="981867016" name="Imagem 1" descr="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67016" name="Imagem 1" descr="Aplicativ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13776" w14:textId="21150CB1" w:rsidR="00387D18" w:rsidRDefault="009A4746" w:rsidP="000E4F7C">
      <w:pPr>
        <w:spacing w:after="0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Imagem 2 - Fonte: RELATÓRIO REFERÊNCIA</w:t>
      </w:r>
    </w:p>
    <w:p w14:paraId="10D8E3EB" w14:textId="77777777" w:rsidR="00841DB0" w:rsidRDefault="00841DB0" w:rsidP="000E4F7C">
      <w:pPr>
        <w:spacing w:after="0"/>
        <w:rPr>
          <w:rFonts w:cs="Times New Roman"/>
          <w:szCs w:val="24"/>
        </w:rPr>
      </w:pPr>
    </w:p>
    <w:p w14:paraId="51323C7C" w14:textId="77777777" w:rsidR="00841DB0" w:rsidRDefault="00841DB0" w:rsidP="000E4F7C">
      <w:pPr>
        <w:spacing w:after="0"/>
        <w:rPr>
          <w:rFonts w:cs="Times New Roman"/>
          <w:szCs w:val="24"/>
        </w:rPr>
      </w:pPr>
    </w:p>
    <w:p w14:paraId="66AD00A2" w14:textId="77777777" w:rsidR="00AA4433" w:rsidRDefault="00AA4433" w:rsidP="000E4F7C">
      <w:pPr>
        <w:spacing w:after="0"/>
        <w:rPr>
          <w:rFonts w:cs="Times New Roman"/>
          <w:szCs w:val="24"/>
        </w:rPr>
      </w:pPr>
    </w:p>
    <w:p w14:paraId="7039E9EA" w14:textId="77777777" w:rsidR="00AA4433" w:rsidRDefault="00AA4433" w:rsidP="000E4F7C">
      <w:pPr>
        <w:spacing w:after="0"/>
        <w:rPr>
          <w:rFonts w:cs="Times New Roman"/>
          <w:szCs w:val="24"/>
        </w:rPr>
      </w:pPr>
    </w:p>
    <w:p w14:paraId="2B1684AD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28BA4F82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39498E62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457DFE8D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1655A8EC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3C2080E0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13A76558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2BAC5A46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1862EC30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2B2E1462" w14:textId="77777777" w:rsidR="00A73E33" w:rsidRDefault="00A73E33" w:rsidP="000E4F7C">
      <w:pPr>
        <w:spacing w:after="0"/>
        <w:rPr>
          <w:rFonts w:cs="Times New Roman"/>
          <w:szCs w:val="24"/>
        </w:rPr>
      </w:pPr>
    </w:p>
    <w:p w14:paraId="50356DE7" w14:textId="77777777" w:rsidR="00AA4433" w:rsidRDefault="00AA4433" w:rsidP="000E4F7C">
      <w:pPr>
        <w:spacing w:after="0"/>
        <w:rPr>
          <w:rFonts w:cs="Times New Roman"/>
          <w:szCs w:val="24"/>
        </w:rPr>
      </w:pPr>
    </w:p>
    <w:p w14:paraId="468BE7FE" w14:textId="77777777" w:rsidR="00AA4433" w:rsidRDefault="00AA4433" w:rsidP="000E4F7C">
      <w:pPr>
        <w:spacing w:after="0"/>
        <w:rPr>
          <w:rFonts w:cs="Times New Roman"/>
          <w:szCs w:val="24"/>
        </w:rPr>
      </w:pPr>
    </w:p>
    <w:p w14:paraId="31F61EBA" w14:textId="4723DEB1" w:rsidR="00387D18" w:rsidRPr="00FB0590" w:rsidRDefault="009A4746" w:rsidP="00764BDE">
      <w:pPr>
        <w:jc w:val="center"/>
        <w:rPr>
          <w:b/>
          <w:bCs/>
        </w:rPr>
      </w:pPr>
      <w:r w:rsidRPr="00FB0590">
        <w:rPr>
          <w:b/>
          <w:bCs/>
        </w:rPr>
        <w:lastRenderedPageBreak/>
        <w:t>OS FUNDOS APLICADOS ESTÃO DISTRIBUÍDOS NAS INSTITUIÇ</w:t>
      </w:r>
      <w:r w:rsidR="00355D0E" w:rsidRPr="00FB0590">
        <w:rPr>
          <w:b/>
          <w:bCs/>
        </w:rPr>
        <w:t>Õ</w:t>
      </w:r>
      <w:r w:rsidRPr="00FB0590">
        <w:rPr>
          <w:b/>
          <w:bCs/>
        </w:rPr>
        <w:t>ES:</w:t>
      </w:r>
    </w:p>
    <w:p w14:paraId="4A059CC9" w14:textId="7204CA3C" w:rsidR="00387D18" w:rsidRPr="00FB0590" w:rsidRDefault="00D81882" w:rsidP="002B3A3D">
      <w:r>
        <w:rPr>
          <w:noProof/>
        </w:rPr>
        <w:drawing>
          <wp:inline distT="0" distB="0" distL="0" distR="0" wp14:anchorId="3CCF64CC" wp14:editId="6099501A">
            <wp:extent cx="5010150" cy="4943475"/>
            <wp:effectExtent l="0" t="0" r="0" b="9525"/>
            <wp:docPr id="951058708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58708" name="Imagem 1" descr="Gráfic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CB558" w14:textId="77777777" w:rsidR="00387D18" w:rsidRPr="00FB0590" w:rsidRDefault="009A4746" w:rsidP="00255D2E">
      <w:r w:rsidRPr="00FB0590">
        <w:t>TABELA  1 - Fonte: RELATÓRIO REFERÊNCIA</w:t>
      </w:r>
    </w:p>
    <w:p w14:paraId="03A5C125" w14:textId="3CAA6D53" w:rsidR="00387D18" w:rsidRPr="00FB0590" w:rsidRDefault="009A4746" w:rsidP="00764BDE">
      <w:pPr>
        <w:ind w:firstLine="1134"/>
        <w:jc w:val="both"/>
        <w:rPr>
          <w:rFonts w:cs="Times New Roman"/>
          <w:szCs w:val="24"/>
          <w:lang w:eastAsia="pt-BR"/>
        </w:rPr>
      </w:pPr>
      <w:bookmarkStart w:id="2" w:name="_Toc123804059"/>
      <w:r w:rsidRPr="00FB0590">
        <w:rPr>
          <w:rFonts w:cs="Times New Roman"/>
          <w:szCs w:val="24"/>
          <w:lang w:eastAsia="pt-BR"/>
        </w:rPr>
        <w:t xml:space="preserve">Reforçamos que as instituições financeiras nas quais o RPPS possui aplicações estão aptas a receber recursos previdenciários, conforme atualização da lista exaustiva do Ministério da Previdência Social (MPS) em </w:t>
      </w:r>
      <w:r w:rsidR="00CF33B9" w:rsidRPr="00FB0590">
        <w:rPr>
          <w:rFonts w:cs="Times New Roman"/>
          <w:szCs w:val="24"/>
          <w:lang w:eastAsia="pt-BR"/>
        </w:rPr>
        <w:t>23/07/2025.</w:t>
      </w:r>
    </w:p>
    <w:p w14:paraId="08EF698F" w14:textId="159C36ED" w:rsidR="00387D18" w:rsidRDefault="009A4746" w:rsidP="00764BDE">
      <w:pPr>
        <w:ind w:firstLine="1134"/>
        <w:jc w:val="both"/>
        <w:rPr>
          <w:rFonts w:cs="Times New Roman"/>
          <w:szCs w:val="24"/>
          <w:lang w:eastAsia="pt-BR"/>
        </w:rPr>
      </w:pPr>
      <w:r w:rsidRPr="00FB0590">
        <w:rPr>
          <w:rFonts w:cs="Times New Roman"/>
          <w:szCs w:val="24"/>
          <w:lang w:eastAsia="pt-BR"/>
        </w:rPr>
        <w:t xml:space="preserve">Essa atualização baseia-se na Resolução CMN </w:t>
      </w:r>
      <w:r w:rsidR="00355D0E" w:rsidRPr="00FB0590">
        <w:rPr>
          <w:rFonts w:cs="Times New Roman"/>
          <w:szCs w:val="24"/>
          <w:lang w:eastAsia="pt-BR"/>
        </w:rPr>
        <w:t>nº 5.272/2025</w:t>
      </w:r>
      <w:r w:rsidRPr="00FB0590">
        <w:rPr>
          <w:rFonts w:cs="Times New Roman"/>
          <w:szCs w:val="24"/>
          <w:lang w:eastAsia="pt-BR"/>
        </w:rPr>
        <w:t>, que estabelece requisitos rigorosos para os bancos — tais como comitês de auditoria e riscos, autorização do Banco Central e, quando aplicável, registro na CVM como administrador de carteiras —, garantindo que apenas instituições habilitadas recebam aplicações dos RPPS</w:t>
      </w:r>
      <w:r w:rsidR="00CF33B9" w:rsidRPr="00FB0590">
        <w:rPr>
          <w:rFonts w:cs="Times New Roman"/>
          <w:szCs w:val="24"/>
          <w:lang w:eastAsia="pt-BR"/>
        </w:rPr>
        <w:t xml:space="preserve">. As instituições responsáveis por receber diretamente os recursos do RPPS (administrador, gestor, custodiante, intermediário e instituição da carteira administrada, conforme o caso) devem ser enquadradas como </w:t>
      </w:r>
      <w:r w:rsidR="00CF33B9" w:rsidRPr="00FB0590">
        <w:rPr>
          <w:rFonts w:cs="Times New Roman"/>
          <w:b/>
          <w:bCs/>
          <w:szCs w:val="24"/>
          <w:lang w:eastAsia="pt-BR"/>
        </w:rPr>
        <w:t>Segmento S1 ou S2</w:t>
      </w:r>
      <w:r w:rsidR="00CF33B9" w:rsidRPr="00FB0590">
        <w:rPr>
          <w:rFonts w:cs="Times New Roman"/>
          <w:szCs w:val="24"/>
          <w:lang w:eastAsia="pt-BR"/>
        </w:rPr>
        <w:t>, ou pertencer ao conglomerado prudencial de instituição classificada como S1 ou S2, nos termos do art. 21 da Resolução CMN nº 5.272/2025.</w:t>
      </w:r>
    </w:p>
    <w:p w14:paraId="08C6E51D" w14:textId="77777777" w:rsidR="00BA607E" w:rsidRDefault="00BA607E" w:rsidP="00764BDE">
      <w:pPr>
        <w:ind w:firstLine="1134"/>
        <w:jc w:val="both"/>
        <w:rPr>
          <w:rFonts w:cs="Times New Roman"/>
          <w:szCs w:val="24"/>
          <w:lang w:eastAsia="pt-BR"/>
        </w:rPr>
      </w:pPr>
    </w:p>
    <w:p w14:paraId="0E5E2C79" w14:textId="77777777" w:rsidR="00BA607E" w:rsidRDefault="00BA607E" w:rsidP="00764BDE">
      <w:pPr>
        <w:ind w:firstLine="1134"/>
        <w:jc w:val="both"/>
        <w:rPr>
          <w:rFonts w:cs="Times New Roman"/>
          <w:szCs w:val="24"/>
          <w:lang w:eastAsia="pt-BR"/>
        </w:rPr>
      </w:pPr>
    </w:p>
    <w:p w14:paraId="2ADCE6B0" w14:textId="77777777" w:rsidR="00BA607E" w:rsidRPr="00FB0590" w:rsidRDefault="00BA607E" w:rsidP="00764BDE">
      <w:pPr>
        <w:ind w:firstLine="1134"/>
        <w:jc w:val="both"/>
        <w:rPr>
          <w:rFonts w:cs="Times New Roman"/>
          <w:szCs w:val="24"/>
          <w:lang w:eastAsia="pt-BR"/>
        </w:rPr>
      </w:pPr>
    </w:p>
    <w:p w14:paraId="17A24DA3" w14:textId="52525ADE" w:rsidR="00CF33B9" w:rsidRPr="00FB0590" w:rsidRDefault="009A4746" w:rsidP="00CF33B9">
      <w:pPr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lastRenderedPageBreak/>
        <w:t>ACOMPANHAMENTO DA CARTEIRA DE INVESTIMENTOS</w:t>
      </w:r>
      <w:bookmarkEnd w:id="2"/>
      <w:r w:rsidRPr="00FB0590">
        <w:rPr>
          <w:rFonts w:cs="Times New Roman"/>
          <w:b/>
          <w:bCs/>
          <w:szCs w:val="24"/>
        </w:rPr>
        <w:t xml:space="preserve"> </w:t>
      </w:r>
      <w:r w:rsidRPr="00FB0590">
        <w:rPr>
          <w:rFonts w:cs="Times New Roman"/>
          <w:b/>
          <w:bCs/>
          <w:i/>
          <w:iCs/>
          <w:szCs w:val="24"/>
        </w:rPr>
        <w:t>VERSUS</w:t>
      </w:r>
      <w:r w:rsidRPr="00FB0590">
        <w:rPr>
          <w:rFonts w:cs="Times New Roman"/>
          <w:b/>
          <w:bCs/>
          <w:szCs w:val="24"/>
        </w:rPr>
        <w:t xml:space="preserve"> A META</w:t>
      </w:r>
    </w:p>
    <w:p w14:paraId="219BA418" w14:textId="61BA1E02" w:rsidR="00387D18" w:rsidRPr="002B3A3D" w:rsidRDefault="009A4746" w:rsidP="00CF33B9">
      <w:pPr>
        <w:rPr>
          <w:rFonts w:cs="Times New Roman"/>
          <w:b/>
          <w:bCs/>
          <w:szCs w:val="24"/>
        </w:rPr>
      </w:pPr>
      <w:r w:rsidRPr="002B3A3D">
        <w:rPr>
          <w:rFonts w:cs="Times New Roman"/>
          <w:b/>
          <w:bCs/>
          <w:szCs w:val="24"/>
        </w:rPr>
        <w:t xml:space="preserve">A meta para </w:t>
      </w:r>
      <w:r w:rsidR="00355D0E" w:rsidRPr="002B3A3D">
        <w:rPr>
          <w:rFonts w:cs="Times New Roman"/>
          <w:b/>
          <w:bCs/>
          <w:szCs w:val="24"/>
        </w:rPr>
        <w:t>2026</w:t>
      </w:r>
      <w:r w:rsidRPr="002B3A3D">
        <w:rPr>
          <w:rFonts w:cs="Times New Roman"/>
          <w:b/>
          <w:bCs/>
          <w:szCs w:val="24"/>
        </w:rPr>
        <w:t xml:space="preserve"> definida na Política de Investimentos, foi de I</w:t>
      </w:r>
      <w:r w:rsidR="008C1B8C">
        <w:rPr>
          <w:rFonts w:cs="Times New Roman"/>
          <w:b/>
          <w:bCs/>
          <w:szCs w:val="24"/>
        </w:rPr>
        <w:t>P</w:t>
      </w:r>
      <w:r w:rsidRPr="002B3A3D">
        <w:rPr>
          <w:rFonts w:cs="Times New Roman"/>
          <w:b/>
          <w:bCs/>
          <w:szCs w:val="24"/>
        </w:rPr>
        <w:t>C</w:t>
      </w:r>
      <w:r w:rsidR="00A43E30">
        <w:rPr>
          <w:rFonts w:cs="Times New Roman"/>
          <w:b/>
          <w:bCs/>
          <w:szCs w:val="24"/>
        </w:rPr>
        <w:t>A</w:t>
      </w:r>
      <w:r w:rsidRPr="002B3A3D">
        <w:rPr>
          <w:rFonts w:cs="Times New Roman"/>
          <w:b/>
          <w:bCs/>
          <w:szCs w:val="24"/>
        </w:rPr>
        <w:t xml:space="preserve"> + </w:t>
      </w:r>
      <w:r w:rsidR="002B3A3D" w:rsidRPr="002B3A3D">
        <w:rPr>
          <w:rFonts w:cs="Times New Roman"/>
          <w:b/>
          <w:bCs/>
          <w:szCs w:val="24"/>
        </w:rPr>
        <w:t>5,</w:t>
      </w:r>
      <w:r w:rsidR="00DB6163">
        <w:rPr>
          <w:rFonts w:cs="Times New Roman"/>
          <w:b/>
          <w:bCs/>
          <w:szCs w:val="24"/>
        </w:rPr>
        <w:t>6</w:t>
      </w:r>
      <w:r w:rsidR="00A43E30">
        <w:rPr>
          <w:rFonts w:cs="Times New Roman"/>
          <w:b/>
          <w:bCs/>
          <w:szCs w:val="24"/>
        </w:rPr>
        <w:t>4</w:t>
      </w:r>
      <w:r w:rsidRPr="002B3A3D">
        <w:rPr>
          <w:rFonts w:cs="Times New Roman"/>
          <w:b/>
          <w:bCs/>
          <w:szCs w:val="24"/>
        </w:rPr>
        <w:t>% ao ano.</w:t>
      </w:r>
    </w:p>
    <w:p w14:paraId="6AF303B5" w14:textId="1F047E08" w:rsidR="00387D18" w:rsidRPr="00FB0590" w:rsidRDefault="009A4746" w:rsidP="00DB7DDA">
      <w:pPr>
        <w:numPr>
          <w:ilvl w:val="0"/>
          <w:numId w:val="5"/>
        </w:numPr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Rentabilidade acumulada até 30/06/</w:t>
      </w:r>
      <w:r w:rsidR="00355D0E" w:rsidRPr="00FB0590">
        <w:rPr>
          <w:rFonts w:cs="Times New Roman"/>
          <w:szCs w:val="24"/>
        </w:rPr>
        <w:t>2026</w:t>
      </w:r>
      <w:r w:rsidRPr="00FB0590">
        <w:rPr>
          <w:rFonts w:cs="Times New Roman"/>
          <w:szCs w:val="24"/>
        </w:rPr>
        <w:t xml:space="preserve">: </w:t>
      </w:r>
      <w:r w:rsidR="002B3A3D" w:rsidRPr="002B3A3D">
        <w:rPr>
          <w:rFonts w:cs="Times New Roman"/>
          <w:szCs w:val="24"/>
        </w:rPr>
        <w:t xml:space="preserve">R$ </w:t>
      </w:r>
      <w:r w:rsidR="00505CEC">
        <w:rPr>
          <w:rFonts w:cs="Times New Roman"/>
          <w:szCs w:val="24"/>
        </w:rPr>
        <w:t>2.587.734,15</w:t>
      </w:r>
      <w:r w:rsidR="002B3A3D">
        <w:rPr>
          <w:rFonts w:cs="Times New Roman"/>
          <w:szCs w:val="24"/>
        </w:rPr>
        <w:t xml:space="preserve">, </w:t>
      </w:r>
      <w:r w:rsidRPr="00FB0590">
        <w:rPr>
          <w:rFonts w:cs="Times New Roman"/>
          <w:szCs w:val="24"/>
        </w:rPr>
        <w:t xml:space="preserve">o que corresponde a </w:t>
      </w:r>
      <w:r w:rsidR="00DB6163">
        <w:rPr>
          <w:rFonts w:cs="Times New Roman"/>
          <w:szCs w:val="24"/>
        </w:rPr>
        <w:t>1</w:t>
      </w:r>
      <w:r w:rsidR="00AA4433">
        <w:rPr>
          <w:rFonts w:cs="Times New Roman"/>
          <w:szCs w:val="24"/>
        </w:rPr>
        <w:t>1</w:t>
      </w:r>
      <w:r w:rsidR="00505CEC">
        <w:rPr>
          <w:rFonts w:cs="Times New Roman"/>
          <w:szCs w:val="24"/>
        </w:rPr>
        <w:t>0</w:t>
      </w:r>
      <w:r w:rsidR="00F7366D">
        <w:rPr>
          <w:rFonts w:cs="Times New Roman"/>
          <w:szCs w:val="24"/>
        </w:rPr>
        <w:t>,</w:t>
      </w:r>
      <w:r w:rsidR="00505CEC">
        <w:rPr>
          <w:rFonts w:cs="Times New Roman"/>
          <w:szCs w:val="24"/>
        </w:rPr>
        <w:t>27</w:t>
      </w:r>
      <w:r w:rsidRPr="00FB0590">
        <w:rPr>
          <w:rFonts w:cs="Times New Roman"/>
          <w:szCs w:val="24"/>
        </w:rPr>
        <w:t>% da meta semestral da PI.</w:t>
      </w:r>
    </w:p>
    <w:p w14:paraId="07E2328A" w14:textId="77777777" w:rsidR="00387D18" w:rsidRPr="00FB0590" w:rsidRDefault="009A4746" w:rsidP="00CF33B9">
      <w:pPr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Em termos percentuais:</w:t>
      </w:r>
    </w:p>
    <w:p w14:paraId="0BB98E4F" w14:textId="7316E69D" w:rsidR="00387D18" w:rsidRPr="00FB0590" w:rsidRDefault="009A4746" w:rsidP="00CF33B9">
      <w:pPr>
        <w:pStyle w:val="PargrafodaLista"/>
        <w:numPr>
          <w:ilvl w:val="0"/>
          <w:numId w:val="10"/>
        </w:numPr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Rentabilidade realizada no semestre: </w:t>
      </w:r>
      <w:r w:rsidR="00505CEC">
        <w:rPr>
          <w:rFonts w:cs="Times New Roman"/>
          <w:b/>
          <w:bCs/>
          <w:szCs w:val="24"/>
        </w:rPr>
        <w:t>6,88</w:t>
      </w:r>
      <w:r w:rsidR="00CF33B9" w:rsidRPr="00FB0590">
        <w:rPr>
          <w:rFonts w:cs="Times New Roman"/>
          <w:b/>
          <w:bCs/>
          <w:szCs w:val="24"/>
        </w:rPr>
        <w:t>%</w:t>
      </w:r>
    </w:p>
    <w:p w14:paraId="3DE03A6C" w14:textId="49D2C768" w:rsidR="00387D18" w:rsidRPr="002B3A3D" w:rsidRDefault="009A4746" w:rsidP="001213C8">
      <w:pPr>
        <w:pStyle w:val="PargrafodaLista"/>
        <w:numPr>
          <w:ilvl w:val="0"/>
          <w:numId w:val="10"/>
        </w:numPr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Meta semestral da PI: </w:t>
      </w:r>
      <w:r w:rsidR="00F7366D">
        <w:rPr>
          <w:rFonts w:cs="Times New Roman"/>
          <w:b/>
          <w:bCs/>
          <w:szCs w:val="24"/>
        </w:rPr>
        <w:t>6,</w:t>
      </w:r>
      <w:r w:rsidR="00F1745C">
        <w:rPr>
          <w:rFonts w:cs="Times New Roman"/>
          <w:b/>
          <w:bCs/>
          <w:szCs w:val="24"/>
        </w:rPr>
        <w:t>24</w:t>
      </w:r>
      <w:r w:rsidR="00CF33B9" w:rsidRPr="00FB0590">
        <w:rPr>
          <w:rFonts w:cs="Times New Roman"/>
          <w:b/>
          <w:bCs/>
          <w:szCs w:val="24"/>
        </w:rPr>
        <w:t>%</w:t>
      </w:r>
    </w:p>
    <w:p w14:paraId="7EAE950E" w14:textId="5DFF9991" w:rsidR="00CF33B9" w:rsidRPr="00FB0590" w:rsidRDefault="00505CEC" w:rsidP="001213C8">
      <w:pPr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31B32D90" wp14:editId="41E7B7A4">
            <wp:extent cx="5715000" cy="504825"/>
            <wp:effectExtent l="0" t="0" r="0" b="9525"/>
            <wp:docPr id="19761053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053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1CF2" w14:textId="77777777" w:rsidR="00387D18" w:rsidRPr="00FB0590" w:rsidRDefault="009A4746" w:rsidP="00255D2E">
      <w:pPr>
        <w:rPr>
          <w:sz w:val="16"/>
          <w:szCs w:val="16"/>
        </w:rPr>
      </w:pPr>
      <w:r w:rsidRPr="00FB0590">
        <w:rPr>
          <w:sz w:val="16"/>
          <w:szCs w:val="16"/>
        </w:rPr>
        <w:t>Imagem 3 - Fonte: LÂMINA REFERÊNCIA</w:t>
      </w:r>
    </w:p>
    <w:p w14:paraId="2A195658" w14:textId="77777777" w:rsidR="00387D18" w:rsidRPr="00FB0590" w:rsidRDefault="009A4746" w:rsidP="00255D2E">
      <w:pPr>
        <w:rPr>
          <w:rFonts w:cs="Times New Roman"/>
          <w:b/>
          <w:bCs/>
          <w:szCs w:val="24"/>
        </w:rPr>
      </w:pPr>
      <w:bookmarkStart w:id="3" w:name="_Toc123804055"/>
      <w:r w:rsidRPr="00FB0590">
        <w:rPr>
          <w:rFonts w:cs="Times New Roman"/>
          <w:b/>
          <w:bCs/>
          <w:szCs w:val="24"/>
        </w:rPr>
        <w:t>ELABORAÇÃO DO DEMONSTRATIVO DAS APLICAÇÕES E INVESTIMENTOS DOS RECURSOS – DAIR</w:t>
      </w:r>
      <w:bookmarkEnd w:id="3"/>
    </w:p>
    <w:p w14:paraId="29122D0F" w14:textId="02D34949" w:rsidR="00387D18" w:rsidRPr="00FB0590" w:rsidRDefault="009A4746" w:rsidP="00764BDE">
      <w:r w:rsidRPr="00FB0590">
        <w:t xml:space="preserve">O envio do DAIR, que é um dos critérios para emissão do CRP, deve ocorrer </w:t>
      </w:r>
      <w:r w:rsidRPr="00FB0590">
        <w:rPr>
          <w:shd w:val="clear" w:color="auto" w:fill="FFFFFF"/>
        </w:rPr>
        <w:t>até o último dia de cada mês, relativamente às informações das aplicações do mês anterior</w:t>
      </w:r>
      <w:r w:rsidRPr="00FB0590">
        <w:t>, segundo o art. 241, inciso IV, alínea “b” da Portaria do MTP nº 1.467 de 2022.</w:t>
      </w:r>
    </w:p>
    <w:p w14:paraId="6EC02001" w14:textId="77777777" w:rsidR="00EB3F2F" w:rsidRPr="006E0E64" w:rsidRDefault="00EB3F2F" w:rsidP="00EB3F2F">
      <w:r w:rsidRPr="006E0E64">
        <w:rPr>
          <w:highlight w:val="yellow"/>
        </w:rPr>
        <w:t>(anexar print dos envios do DAIR de janeiro a junho)</w:t>
      </w:r>
    </w:p>
    <w:p w14:paraId="3957700B" w14:textId="0CEDD9B1" w:rsidR="00387D18" w:rsidRPr="00FB0590" w:rsidRDefault="00387D18" w:rsidP="00E613FF"/>
    <w:p w14:paraId="6A72166F" w14:textId="77777777" w:rsidR="00387D18" w:rsidRPr="00FB0590" w:rsidRDefault="009A4746" w:rsidP="00E613FF">
      <w:r w:rsidRPr="00FB0590">
        <w:t>Imagem 4 - Fonte: DATAPREV</w:t>
      </w:r>
    </w:p>
    <w:p w14:paraId="35D38242" w14:textId="77777777" w:rsidR="00387D18" w:rsidRPr="00FB0590" w:rsidRDefault="00387D18" w:rsidP="00255D2E">
      <w:pPr>
        <w:spacing w:after="0" w:line="240" w:lineRule="auto"/>
        <w:rPr>
          <w:rFonts w:cs="Times New Roman"/>
          <w:szCs w:val="24"/>
        </w:rPr>
      </w:pPr>
    </w:p>
    <w:p w14:paraId="0E38E0F7" w14:textId="77777777" w:rsidR="00387D18" w:rsidRPr="00FB0590" w:rsidRDefault="009A4746" w:rsidP="00764BDE">
      <w:pPr>
        <w:ind w:firstLine="1134"/>
        <w:jc w:val="both"/>
        <w:rPr>
          <w:rFonts w:cs="Times New Roman"/>
          <w:bCs/>
          <w:szCs w:val="24"/>
          <w:lang w:eastAsia="pt-BR"/>
        </w:rPr>
      </w:pPr>
      <w:r w:rsidRPr="00FB0590">
        <w:rPr>
          <w:rFonts w:cs="Times New Roman"/>
          <w:bCs/>
          <w:szCs w:val="24"/>
          <w:lang w:eastAsia="pt-BR"/>
        </w:rPr>
        <w:t>Os dados disponíveis nos portais do município e do Ministério do Trabalho e Previdência comprovam que, ao longo do semestre, as aplicações do RPPS permaneceram enquadradas e sem ressalvas.</w:t>
      </w:r>
    </w:p>
    <w:p w14:paraId="371B260B" w14:textId="3D060AD3" w:rsidR="00387D18" w:rsidRPr="00FB0590" w:rsidRDefault="009A4746" w:rsidP="00082E2C">
      <w:pPr>
        <w:ind w:firstLine="1134"/>
        <w:jc w:val="both"/>
        <w:rPr>
          <w:rFonts w:cs="Times New Roman"/>
          <w:szCs w:val="24"/>
          <w:lang w:eastAsia="pt-BR"/>
        </w:rPr>
      </w:pPr>
      <w:r w:rsidRPr="00FB0590">
        <w:rPr>
          <w:rFonts w:cs="Times New Roman"/>
          <w:szCs w:val="24"/>
          <w:lang w:eastAsia="pt-BR"/>
        </w:rPr>
        <w:t xml:space="preserve">Essa conformidade é respaldada pelo monitoramento constante exigido pelo MPS, que verifica a adequação das aplicações à Política de Investimentos e às normas vigentes, como as exigências contidas na Resolução CMN </w:t>
      </w:r>
      <w:r w:rsidR="00355D0E" w:rsidRPr="00FB0590">
        <w:rPr>
          <w:rFonts w:cs="Times New Roman"/>
          <w:szCs w:val="24"/>
          <w:lang w:eastAsia="pt-BR"/>
        </w:rPr>
        <w:t>nº 5.272/2025</w:t>
      </w:r>
      <w:r w:rsidRPr="00FB0590">
        <w:rPr>
          <w:rFonts w:cs="Times New Roman"/>
          <w:szCs w:val="24"/>
          <w:lang w:eastAsia="pt-BR"/>
        </w:rPr>
        <w:t xml:space="preserve"> e Portaria MTP nº 1.467/2022.</w:t>
      </w:r>
    </w:p>
    <w:p w14:paraId="278F4452" w14:textId="77777777" w:rsidR="00387D18" w:rsidRPr="00FB0590" w:rsidRDefault="00387D18" w:rsidP="00082E2C">
      <w:pPr>
        <w:rPr>
          <w:lang w:eastAsia="pt-BR"/>
        </w:rPr>
      </w:pPr>
    </w:p>
    <w:p w14:paraId="1D4F2708" w14:textId="4D546919" w:rsidR="00387D18" w:rsidRPr="00CB36DF" w:rsidRDefault="009A4746" w:rsidP="00255D2E">
      <w:pPr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MONITORAMENTO DA POLÍTICA DE INVESTIMENTOS</w:t>
      </w:r>
    </w:p>
    <w:p w14:paraId="00991C8D" w14:textId="77777777" w:rsidR="00387D18" w:rsidRPr="00FB0590" w:rsidRDefault="009A4746" w:rsidP="00CF33B9">
      <w:pPr>
        <w:jc w:val="both"/>
      </w:pPr>
      <w:r w:rsidRPr="00FB0590">
        <w:t>Como já mencionado, a Política de Investimentos estabelece os limites de alocação em renda fixa, renda variável, estruturados, fundos imobiliários, em consonância com a legislação vigente. Além dessas restrições, existem vedações específicas para orientar os gestores quanto à adequação dos recursos ao perfil do RPPS.</w:t>
      </w:r>
    </w:p>
    <w:p w14:paraId="0CE8FB02" w14:textId="77777777" w:rsidR="00387D18" w:rsidRPr="00FB0590" w:rsidRDefault="009A4746" w:rsidP="00CF33B9">
      <w:pPr>
        <w:jc w:val="both"/>
      </w:pPr>
      <w:r w:rsidRPr="00FB0590">
        <w:t>A gestão fundamenta-se em cenários projetados pelo mercado atual e futuro, além de análises realizadas pela Consultoria Referência em conjunto com o Comitê de Investimentos.</w:t>
      </w:r>
    </w:p>
    <w:p w14:paraId="40650531" w14:textId="77777777" w:rsidR="00F7366D" w:rsidRDefault="009A4746" w:rsidP="00F7366D">
      <w:pPr>
        <w:jc w:val="both"/>
      </w:pPr>
      <w:r w:rsidRPr="00FB0590">
        <w:t>O enquadramento final do primeiro semestre demonstramos abaixo:</w:t>
      </w:r>
    </w:p>
    <w:p w14:paraId="1DE083E0" w14:textId="1BF72908" w:rsidR="00387D18" w:rsidRPr="00FB0590" w:rsidRDefault="00505CEC" w:rsidP="00F7366D">
      <w:pPr>
        <w:jc w:val="both"/>
      </w:pPr>
      <w:r>
        <w:rPr>
          <w:noProof/>
        </w:rPr>
        <w:lastRenderedPageBreak/>
        <w:drawing>
          <wp:inline distT="0" distB="0" distL="0" distR="0" wp14:anchorId="73EDD711" wp14:editId="3D5E7E12">
            <wp:extent cx="5760085" cy="851535"/>
            <wp:effectExtent l="0" t="0" r="0" b="5715"/>
            <wp:docPr id="634064657" name="Imagem 1" descr="Tabel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64657" name="Imagem 1" descr="Tabela&#10;&#10;Descrição gerada automaticamente com confiança mé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E3F1" w14:textId="7EAF2B17" w:rsidR="00387D18" w:rsidRPr="00FB0590" w:rsidRDefault="009A4746" w:rsidP="0094313F">
      <w:r w:rsidRPr="00FB0590">
        <w:t>Imagem 5- Fonte: RELATÓRIO REFERÊNCIA</w:t>
      </w:r>
    </w:p>
    <w:p w14:paraId="78BEACC1" w14:textId="77777777" w:rsidR="00387D18" w:rsidRPr="00FB0590" w:rsidRDefault="00387D18" w:rsidP="00255D2E">
      <w:pPr>
        <w:spacing w:after="0" w:line="240" w:lineRule="auto"/>
        <w:rPr>
          <w:rFonts w:cs="Times New Roman"/>
          <w:szCs w:val="24"/>
        </w:rPr>
      </w:pPr>
    </w:p>
    <w:p w14:paraId="45F65D87" w14:textId="36C0F362" w:rsidR="00387D18" w:rsidRPr="00FB0590" w:rsidRDefault="009A4746" w:rsidP="00764BDE">
      <w:pPr>
        <w:spacing w:line="259" w:lineRule="auto"/>
        <w:jc w:val="center"/>
        <w:rPr>
          <w:rFonts w:cs="Times New Roman"/>
          <w:b/>
          <w:bCs/>
          <w:szCs w:val="24"/>
        </w:rPr>
      </w:pPr>
      <w:bookmarkStart w:id="4" w:name="_Toc123804061"/>
      <w:r w:rsidRPr="00FB0590">
        <w:rPr>
          <w:rFonts w:cs="Times New Roman"/>
          <w:b/>
          <w:bCs/>
          <w:szCs w:val="24"/>
        </w:rPr>
        <w:t xml:space="preserve">RESUMO DO MERCADO FINANCEIRO NO PRIMEIRO SEMESTRE </w:t>
      </w:r>
      <w:r w:rsidR="00355D0E" w:rsidRPr="00FB0590">
        <w:rPr>
          <w:rFonts w:cs="Times New Roman"/>
          <w:b/>
          <w:bCs/>
          <w:szCs w:val="24"/>
        </w:rPr>
        <w:t>2026</w:t>
      </w:r>
    </w:p>
    <w:p w14:paraId="42DCBC75" w14:textId="77777777" w:rsidR="00321ACB" w:rsidRPr="00FB0590" w:rsidRDefault="00321ACB" w:rsidP="00321ACB">
      <w:pPr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CENÁRIO EXTERNO</w:t>
      </w:r>
    </w:p>
    <w:p w14:paraId="2936ADAC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O primeiro semestre de 2026 foi pautado pela combinação dos seguintes fatores: desaceleração desigual da atividade global, nova pressão sobre os preços de energia e elevada incerteza geopolítica e comercial. O conflito no Oriente Médio ampliou a volatilidade do petróleo e interrompeu parte do processo de desinflação observado no início do ano. Nesse ambiente, os bancos centrais passaram a adotar posturas distintas: o Federal Reserve preservou uma atuação cautelosa, enquanto o Banco Central Europeu elevou novamente as taxas de juros em junho. Para os mercados, o resultado foi uma alternância entre movimentos de busca por proteção e retomada do apetite por risco, com maior sensibilidade às notícias relacionadas à inflação, à energia e à política monetária.</w:t>
      </w:r>
    </w:p>
    <w:p w14:paraId="31B158CE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CHINA</w:t>
      </w:r>
    </w:p>
    <w:p w14:paraId="7BA8AEF3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A economia chinesa cresceu 5,0% no primeiro trimestre em relação ao mesmo período de 2025, sustentada pela indústria, pelos serviços e pela expansão do consumo digital. O PMI industrial oficial atingiu 50,3 pontos em junho, retornando à zona de expansão após leituras mais fracas no início do ano. A melhora, contudo, não elimina as fragilidades do setor imobiliário, a pressão sobre o mercado de trabalho e a moderação da demanda interna. Assim, o governo manteve estímulos direcionados e apoio a segmentos considerados estratégicos, buscando preservar o ritmo de crescimento sem ampliar excessivamente os desequilíbrios financeiros.</w:t>
      </w:r>
    </w:p>
    <w:p w14:paraId="114C917F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ESTADOS UNIDOS</w:t>
      </w:r>
    </w:p>
    <w:p w14:paraId="41767A4C" w14:textId="77777777" w:rsidR="00321ACB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Nos Estados Unidos, a economia manteve-se aquecida no encerramento do semestre. O PIB avançou 2,1% em termos anualizados no primeiro trimestre, recuperando-se da expansão de apenas 0,5% observada no trimestre anterior. O mercado de trabalho perdeu intensidade ao longo do semestre: em junho, foram criadas 57 mil vagas, enquanto a taxa de desemprego permaneceu em 4,2%. A inflação ao consumidor acelerou para 4,2% em 12 meses até maio, influenciada principalmente pelo aumento dos preços da energia, enquanto o núcleo permaneceu mais moderado, em 2,9%. Diante desse cenário, o Federal Reserve manteve, em junho, a faixa da taxa dos </w:t>
      </w:r>
      <w:proofErr w:type="spellStart"/>
      <w:r w:rsidRPr="00FB0590">
        <w:rPr>
          <w:rFonts w:cs="Times New Roman"/>
          <w:szCs w:val="24"/>
        </w:rPr>
        <w:t>Fed</w:t>
      </w:r>
      <w:proofErr w:type="spellEnd"/>
      <w:r w:rsidRPr="00FB0590">
        <w:rPr>
          <w:rFonts w:cs="Times New Roman"/>
          <w:szCs w:val="24"/>
        </w:rPr>
        <w:t xml:space="preserve"> </w:t>
      </w:r>
      <w:proofErr w:type="spellStart"/>
      <w:r w:rsidRPr="00FB0590">
        <w:rPr>
          <w:rFonts w:cs="Times New Roman"/>
          <w:szCs w:val="24"/>
        </w:rPr>
        <w:t>Funds</w:t>
      </w:r>
      <w:proofErr w:type="spellEnd"/>
      <w:r w:rsidRPr="00FB0590">
        <w:rPr>
          <w:rFonts w:cs="Times New Roman"/>
          <w:szCs w:val="24"/>
        </w:rPr>
        <w:t xml:space="preserve"> entre 3,50% e 3,75%, reiterando que os próximos passos dependerão da evolução da inflação e do mercado de trabalho.</w:t>
      </w:r>
    </w:p>
    <w:p w14:paraId="7902BB1C" w14:textId="77777777" w:rsidR="00AA4433" w:rsidRDefault="00AA4433" w:rsidP="00F7366D">
      <w:pPr>
        <w:jc w:val="both"/>
        <w:rPr>
          <w:rFonts w:cs="Times New Roman"/>
          <w:szCs w:val="24"/>
        </w:rPr>
      </w:pPr>
    </w:p>
    <w:p w14:paraId="30AC5CD6" w14:textId="77777777" w:rsidR="00505CEC" w:rsidRDefault="00505CEC" w:rsidP="00F7366D">
      <w:pPr>
        <w:jc w:val="both"/>
        <w:rPr>
          <w:rFonts w:cs="Times New Roman"/>
          <w:szCs w:val="24"/>
        </w:rPr>
      </w:pPr>
    </w:p>
    <w:p w14:paraId="7EB7CB01" w14:textId="77777777" w:rsidR="00AA4433" w:rsidRDefault="00AA4433" w:rsidP="00F7366D">
      <w:pPr>
        <w:jc w:val="both"/>
        <w:rPr>
          <w:rFonts w:cs="Times New Roman"/>
          <w:szCs w:val="24"/>
        </w:rPr>
      </w:pPr>
    </w:p>
    <w:p w14:paraId="793E822F" w14:textId="06F09D28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lastRenderedPageBreak/>
        <w:t>ZONA DO EURO</w:t>
      </w:r>
    </w:p>
    <w:p w14:paraId="6E153756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Na Zona do Euro, a revisão mais recente apontou retração de 0,2% do PIB no primeiro trimestre em relação ao período anterior, evidenciando perda de dinamismo econômico. A inflação anual recuou de 3,2% em maio para uma estimativa de 2,8% em junho, mas permaneceu acima da meta de 2%, com energia e serviços exercendo pressão relevante. Em junho, o Banco Central Europeu elevou suas três taxas básicas em 0,25 ponto percentual, levando a taxa de depósito para 2,25%. A decisão refletiu o risco de que o choque energético se disseminasse para outros preços e mantivesse a inflação acima da meta por período prolongado.</w:t>
      </w:r>
    </w:p>
    <w:p w14:paraId="3EF8DE98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Em síntese, o cenário externo encerrou o semestre menos favorável à realização de cortes rápidos nas taxas de juros. A direção dos mercados no segundo semestre dependerá, sobretudo, da duração do choque nos preços da energia, da evolução das tensões comerciais e da capacidade das economias desenvolvidas de reduzir a inflação sem provocar uma desaceleração econômica mais intensa.</w:t>
      </w:r>
    </w:p>
    <w:p w14:paraId="6C804CE6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CENÁRIO BRASIL</w:t>
      </w:r>
    </w:p>
    <w:p w14:paraId="11131209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O primeiro semestre foi marcado pela combinação de atividade econômica ainda resiliente, inflação acima da meta e início cauteloso do processo de flexibilização monetária. O ambiente externo mais adverso, a alta do petróleo e as incertezas fiscais e eleitorais elevaram os prêmios de risco, limitaram o espaço para reduções mais rápidas da taxa Selic e aumentaram a volatilidade do câmbio e da curva de juros. Ao mesmo tempo, o crescimento da economia brasileira surpreendeu positivamente no início do ano, reduzindo a necessidade de estímulos adicionais à demanda.</w:t>
      </w:r>
    </w:p>
    <w:p w14:paraId="23A7AE20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ATIVIDADE ECONÔMICA</w:t>
      </w:r>
    </w:p>
    <w:p w14:paraId="72CFC6B5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O PIB cresceu 1,1% no primeiro trimestre de 2026 em relação ao quarto trimestre de 2025 e 1,8% na comparação interanual, conforme dados do IBGE. Pela ótica da produção, houve expansão da Agropecuária (2,0%), da Indústria (1,0%) e dos Serviços (0,5%). O desempenho demonstrou crescimento relativamente disseminado entre os setores, embora a política monetária contracionista já apresente sinais de moderação nas atividades mais sensíveis ao crédito. Para o restante do ano, a sustentação da atividade dependerá da evolução da renda, do mercado de trabalho e da capacidade de investimento, em contraposição ao elevado custo do financiamento.</w:t>
      </w:r>
    </w:p>
    <w:p w14:paraId="2806F9BA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INFLAÇÃO</w:t>
      </w:r>
    </w:p>
    <w:p w14:paraId="2EA724AC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O IPCA desacelerou para 0,16% em junho, após alta de 0,58% em maio. Com isso, acumulou 3,36% no primeiro semestre e 4,64% em 12 meses. A desaceleração mensal foi positiva, mas não eliminou o quadro de atenção: a inflação corrente permanece acima do centro da meta, as expectativas seguem desancoradas e os efeitos do choque do petróleo ainda são incertos. No cenário de referência divulgado após a reunião de junho, o Copom projetou IPCA de 5,16% para 2026 e de 3,7% para o quarto trimestre de 2027, atual horizonte relevante da política monetária. </w:t>
      </w:r>
    </w:p>
    <w:p w14:paraId="5D3694A1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TAXA SELIC</w:t>
      </w:r>
    </w:p>
    <w:p w14:paraId="11F0BC88" w14:textId="77777777" w:rsidR="00321ACB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Após iniciar o ano em 15,00% ao ano, a taxa Selic foi reduzida gradualmente e encerrou o semestre em 14,25% ao ano. Na decisão de junho, o Copom enfatizou que o ciclo de flexibilização continuará condicionado à evolução dos dados econômicos e que a incerteza permanece historicamente </w:t>
      </w:r>
      <w:r w:rsidRPr="00FB0590">
        <w:rPr>
          <w:rFonts w:cs="Times New Roman"/>
          <w:szCs w:val="24"/>
        </w:rPr>
        <w:lastRenderedPageBreak/>
        <w:t>elevada. A autoridade monetária reconheceu que o período prolongado de juros restritivos já contribui para a desaceleração da atividade, mas destacou riscos de alta provenientes dos preços da energia, das expectativas de inflação e da política fiscal. Assim, o cenário-base favorece novos cortes graduais, sem sinalizar uma trajetória automática ou acelerada.</w:t>
      </w:r>
    </w:p>
    <w:p w14:paraId="5B7D714A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CÂMBIO E POLÍTICA FISCAL</w:t>
      </w:r>
    </w:p>
    <w:p w14:paraId="76701373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A situação fiscal continuou sendo um dos principais limitadores para a melhora dos ativos domésticos. Em maio, a Dívida Bruta do Governo Geral atingiu 81,1% do PIB, alta de 2,4 pontos percentuais no ano, enquanto o déficit nominal acumulado em 12 meses alcançou 9,62% do PIB. O Governo Central registrou déficit primário de R$ 53,3 bilhões apenas em maio, em meio ao crescimento das despesas obrigatórias e às medidas de compensação do choque dos combustíveis. Esse quadro manteve elevado o prêmio de prazo dos títulos públicos. No mercado de câmbio, o dólar encerrou junho próximo de R$ 5,16, refletindo tanto o fortalecimento da moeda norte-americana no cenário internacional quanto fatores domésticos.</w:t>
      </w:r>
    </w:p>
    <w:p w14:paraId="44A70E60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RENDA FIXA</w:t>
      </w:r>
    </w:p>
    <w:p w14:paraId="57DF4C6B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A renda fixa encerrou o semestre com retornos positivos, porém bastante distintos entre os diferentes prazos. O elevado nível da taxa Selic sustentou o desempenho dos ativos pós-fixados e dos títulos prefixados de curto prazo. O IMA-S acumulou rentabilidade de 6,95%, o CDI rendeu 6,79% e o IRF-M 1 avançou 6,63%.</w:t>
      </w:r>
    </w:p>
    <w:p w14:paraId="2C839304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Entre os títulos públicos indexados à inflação, o IMA-B 5 registrou ganho de 6,48%, beneficiado pelo carrego e pela menor sensibilidade às oscilações das taxas reais. O IMA-Geral, que representa uma carteira ampla de títulos públicos marcados a mercado, avançou 5,83%.</w:t>
      </w:r>
    </w:p>
    <w:p w14:paraId="4EABDABE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A principal diferença ocorreu na parte longa da curva de juros. O IMA-B 5+ acumulou rentabilidade de apenas 2,20%, após recuar 2,05% em junho, refletindo a elevação dos juros reais de longo prazo e a maior percepção de risco fiscal. A leitura do período confirma que os ativos de menor </w:t>
      </w:r>
      <w:proofErr w:type="spellStart"/>
      <w:r w:rsidRPr="00FB0590">
        <w:rPr>
          <w:rFonts w:cs="Times New Roman"/>
          <w:szCs w:val="24"/>
        </w:rPr>
        <w:t>duration</w:t>
      </w:r>
      <w:proofErr w:type="spellEnd"/>
      <w:r w:rsidRPr="00FB0590">
        <w:rPr>
          <w:rFonts w:cs="Times New Roman"/>
          <w:szCs w:val="24"/>
        </w:rPr>
        <w:t xml:space="preserve"> e os títulos pós-fixados foram favorecidos pelo elevado patamar da taxa Selic e pela postura mais cautelosa dos investidores diante das incertezas fiscais, políticas e do cenário internacional.</w:t>
      </w:r>
    </w:p>
    <w:p w14:paraId="31F38025" w14:textId="77777777" w:rsidR="00321ACB" w:rsidRPr="00FB0590" w:rsidRDefault="00321ACB" w:rsidP="00F7366D">
      <w:pPr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RENDA VARIÁVEL</w:t>
      </w:r>
    </w:p>
    <w:p w14:paraId="6587CC1A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O Ibovespa encerrou junho aos 172.024 pontos, acumulando alta de 6,76% no primeiro semestre. O resultado, entretanto, foi concentrado: após avançar 12,56% em janeiro, o índice perdeu força e registrou, em junho, a quarta queda mensal consecutiva.</w:t>
      </w:r>
    </w:p>
    <w:p w14:paraId="25ADF849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A combinação de juros domésticos elevados, continuidade da saída de investidores estrangeiros da bolsa brasileira, maior aversão ao risco e persistência das incertezas fiscais limitou uma valorização mais consistente, apesar do suporte oferecido pelas empresas exportadoras, pelo setor financeiro e pelas companhias com elevado pagamento de dividendos.</w:t>
      </w:r>
    </w:p>
    <w:p w14:paraId="1E1ABF25" w14:textId="77777777" w:rsidR="00321ACB" w:rsidRPr="00FB0590" w:rsidRDefault="00321ACB" w:rsidP="00F7366D">
      <w:pPr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No mercado internacional, o S&amp;P 500 avançou aproximadamente 10,2% no semestre, enquanto o MSCI World apresentou retorno bruto de 9,94% em dólares. A recuperação foi impulsionada principalmente pelo setor de tecnologia e por empresas de maior crescimento, embora o choque do petróleo e a concentração dos índices tenham ampliado a dispersão de desempenho entre os </w:t>
      </w:r>
      <w:r w:rsidRPr="00FB0590">
        <w:rPr>
          <w:rFonts w:cs="Times New Roman"/>
          <w:szCs w:val="24"/>
        </w:rPr>
        <w:lastRenderedPageBreak/>
        <w:t>diferentes setores. Para o investidor brasileiro, o retorno efetivo dessas aplicações também depende da variação cambial.</w:t>
      </w:r>
    </w:p>
    <w:p w14:paraId="2A705CEB" w14:textId="77777777" w:rsidR="00321ACB" w:rsidRPr="00FB0590" w:rsidRDefault="00321ACB" w:rsidP="00321ACB">
      <w:pPr>
        <w:spacing w:after="0"/>
        <w:jc w:val="both"/>
        <w:rPr>
          <w:rFonts w:ascii="Segoe UI Light" w:hAnsi="Segoe UI Light" w:cs="Segoe UI Light"/>
        </w:rPr>
      </w:pPr>
      <w:r w:rsidRPr="00FB0590">
        <w:rPr>
          <w:rFonts w:ascii="Segoe UI Light" w:hAnsi="Segoe UI Light" w:cs="Segoe UI Light"/>
          <w:i/>
          <w:iCs/>
          <w:sz w:val="20"/>
          <w:szCs w:val="20"/>
        </w:rPr>
        <w:t>Rentabilidades</w:t>
      </w:r>
    </w:p>
    <w:p w14:paraId="33A97246" w14:textId="77777777" w:rsidR="00321ACB" w:rsidRPr="00FB0590" w:rsidRDefault="00321ACB" w:rsidP="00321ACB">
      <w:pPr>
        <w:spacing w:after="0"/>
        <w:jc w:val="both"/>
        <w:rPr>
          <w:sz w:val="20"/>
          <w:szCs w:val="20"/>
        </w:rPr>
      </w:pPr>
    </w:p>
    <w:p w14:paraId="0691A52D" w14:textId="77777777" w:rsidR="00321ACB" w:rsidRPr="00FB0590" w:rsidRDefault="00321ACB" w:rsidP="00321ACB">
      <w:pPr>
        <w:spacing w:after="0"/>
        <w:jc w:val="both"/>
        <w:rPr>
          <w:sz w:val="20"/>
          <w:szCs w:val="20"/>
        </w:rPr>
      </w:pPr>
      <w:r w:rsidRPr="00FB0590">
        <w:rPr>
          <w:noProof/>
        </w:rPr>
        <w:drawing>
          <wp:inline distT="0" distB="0" distL="0" distR="0" wp14:anchorId="568A7E10" wp14:editId="1A1304E8">
            <wp:extent cx="4699635" cy="2371090"/>
            <wp:effectExtent l="0" t="0" r="5715" b="0"/>
            <wp:docPr id="185698884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563D" w14:textId="77777777" w:rsidR="00321ACB" w:rsidRPr="00FB0590" w:rsidRDefault="00321ACB" w:rsidP="00321ACB">
      <w:pPr>
        <w:spacing w:after="0"/>
        <w:jc w:val="both"/>
        <w:rPr>
          <w:sz w:val="20"/>
          <w:szCs w:val="20"/>
        </w:rPr>
      </w:pPr>
    </w:p>
    <w:p w14:paraId="1C4B200E" w14:textId="77777777" w:rsidR="00321ACB" w:rsidRPr="00FB0590" w:rsidRDefault="00321ACB" w:rsidP="00321ACB">
      <w:pPr>
        <w:spacing w:after="0"/>
        <w:jc w:val="both"/>
        <w:rPr>
          <w:sz w:val="20"/>
          <w:szCs w:val="20"/>
        </w:rPr>
      </w:pPr>
      <w:r w:rsidRPr="00FB0590">
        <w:rPr>
          <w:noProof/>
        </w:rPr>
        <w:drawing>
          <wp:inline distT="0" distB="0" distL="0" distR="0" wp14:anchorId="66AFEAA2" wp14:editId="05C92518">
            <wp:extent cx="4699635" cy="1350645"/>
            <wp:effectExtent l="0" t="0" r="5715" b="1905"/>
            <wp:docPr id="122205711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96DEA" w14:textId="77777777" w:rsidR="00321ACB" w:rsidRPr="00FB0590" w:rsidRDefault="00321ACB" w:rsidP="00321ACB">
      <w:pPr>
        <w:spacing w:after="0"/>
        <w:jc w:val="both"/>
        <w:rPr>
          <w:sz w:val="20"/>
          <w:szCs w:val="20"/>
        </w:rPr>
      </w:pPr>
    </w:p>
    <w:p w14:paraId="2F9A5FA8" w14:textId="3937C8D4" w:rsidR="00321ACB" w:rsidRPr="00FB0590" w:rsidRDefault="00321ACB" w:rsidP="00321ACB">
      <w:pPr>
        <w:spacing w:after="0"/>
        <w:jc w:val="both"/>
        <w:rPr>
          <w:sz w:val="20"/>
          <w:szCs w:val="20"/>
        </w:rPr>
      </w:pPr>
      <w:r w:rsidRPr="00FB0590">
        <w:rPr>
          <w:sz w:val="20"/>
          <w:szCs w:val="20"/>
        </w:rPr>
        <w:t>Imagem 6- fonte: REFERENCIA</w:t>
      </w:r>
    </w:p>
    <w:p w14:paraId="5C1156E5" w14:textId="77777777" w:rsidR="00CF33B9" w:rsidRPr="00FB0590" w:rsidRDefault="00CF33B9" w:rsidP="00255D2E">
      <w:pPr>
        <w:rPr>
          <w:rFonts w:cs="Times New Roman"/>
          <w:szCs w:val="24"/>
        </w:rPr>
      </w:pPr>
    </w:p>
    <w:p w14:paraId="39B90A04" w14:textId="38096917" w:rsidR="00387D18" w:rsidRPr="00FB0590" w:rsidRDefault="009A4746" w:rsidP="00CB36DF">
      <w:pPr>
        <w:ind w:left="720" w:firstLine="720"/>
        <w:jc w:val="both"/>
        <w:rPr>
          <w:rFonts w:cs="Times New Roman"/>
          <w:b/>
          <w:bCs/>
          <w:szCs w:val="24"/>
        </w:rPr>
      </w:pPr>
      <w:r w:rsidRPr="00FB0590">
        <w:rPr>
          <w:rFonts w:cs="Times New Roman"/>
          <w:b/>
          <w:bCs/>
          <w:szCs w:val="24"/>
        </w:rPr>
        <w:t>CONCLUSÃO E RECOMENDAÇÕES</w:t>
      </w:r>
      <w:bookmarkEnd w:id="4"/>
      <w:r w:rsidRPr="00FB0590">
        <w:rPr>
          <w:rFonts w:cs="Times New Roman"/>
          <w:b/>
          <w:bCs/>
          <w:szCs w:val="24"/>
        </w:rPr>
        <w:t xml:space="preserve"> </w:t>
      </w:r>
    </w:p>
    <w:p w14:paraId="0AC21FDC" w14:textId="54C3555C" w:rsidR="00387D18" w:rsidRPr="00FB0590" w:rsidRDefault="009A4746" w:rsidP="00CB36DF">
      <w:pPr>
        <w:jc w:val="both"/>
      </w:pPr>
      <w:bookmarkStart w:id="5" w:name="_Toc123804062"/>
      <w:r w:rsidRPr="00FB0590">
        <w:t xml:space="preserve">Com base na análise dos relatórios enviados pela Consultoria Referência, bem como no acompanhamento mensal realizado pelo gestor, Comitê de Investimentos e Conselhos, verificamos que, no primeiro semestre de </w:t>
      </w:r>
      <w:r w:rsidR="00355D0E" w:rsidRPr="00FB0590">
        <w:t>2026</w:t>
      </w:r>
      <w:r w:rsidRPr="00FB0590">
        <w:t>, os investimentos do RPPS atenderam às normas vigentes e à Política de Investimentos. Foram observados o cumprimento das metas, o enquadramento dos ativos e a regularidade na gestão dos recursos, não sendo identificadas deficiências ou irregularidades no período.</w:t>
      </w:r>
    </w:p>
    <w:p w14:paraId="544CFDAF" w14:textId="77777777" w:rsidR="00387D18" w:rsidRPr="00FB0590" w:rsidRDefault="009A4746" w:rsidP="00CB36DF">
      <w:pPr>
        <w:jc w:val="both"/>
      </w:pPr>
      <w:r w:rsidRPr="00FB0590">
        <w:t>Reiteramos que todas as informações estão disponíveis para consulta nas fontes oficiais indicadas, em conformidade com as exigências legais aplicáveis aos RPPS, especialmente no que se refere à organização e transparência.</w:t>
      </w:r>
    </w:p>
    <w:p w14:paraId="28ACF659" w14:textId="778ABCD5" w:rsidR="00387D18" w:rsidRPr="00FB0590" w:rsidRDefault="009A4746" w:rsidP="00CB36DF">
      <w:pPr>
        <w:jc w:val="both"/>
      </w:pPr>
      <w:r w:rsidRPr="00FB0590">
        <w:t xml:space="preserve">O RPPS atingiu </w:t>
      </w:r>
      <w:r w:rsidR="00D14F1C">
        <w:t>1</w:t>
      </w:r>
      <w:r w:rsidR="00AA4433">
        <w:t>1</w:t>
      </w:r>
      <w:r w:rsidR="00505CEC">
        <w:t>0</w:t>
      </w:r>
      <w:r w:rsidR="00D14F1C">
        <w:t>,</w:t>
      </w:r>
      <w:r w:rsidR="00505CEC">
        <w:t>27</w:t>
      </w:r>
      <w:r w:rsidRPr="00FB0590">
        <w:t xml:space="preserve">% de sua meta da PI no semestre, o que reforça a expectativa de atingir o objetivo no exercício anual. </w:t>
      </w:r>
    </w:p>
    <w:p w14:paraId="0E736AA9" w14:textId="77777777" w:rsidR="00387D18" w:rsidRDefault="009A4746" w:rsidP="00CB36DF">
      <w:pPr>
        <w:ind w:left="-142"/>
        <w:jc w:val="both"/>
      </w:pPr>
      <w:r w:rsidRPr="00FB0590">
        <w:rPr>
          <w:b/>
          <w:bCs/>
        </w:rPr>
        <w:t>Obs.:</w:t>
      </w:r>
      <w:r w:rsidRPr="00FB0590">
        <w:t xml:space="preserve"> O presente relatório apresenta, nas tabelas e gráficos, arredondamentos nos valores do Patrimônio Líquido (PL) dos fundos, o que pode gerar pequenas diferenças de centavos em comparação com o extrato.</w:t>
      </w:r>
    </w:p>
    <w:p w14:paraId="3013C10D" w14:textId="77777777" w:rsidR="001D63E9" w:rsidRPr="00FB0590" w:rsidRDefault="001D63E9" w:rsidP="00CB36DF">
      <w:pPr>
        <w:ind w:left="-142"/>
        <w:jc w:val="both"/>
      </w:pPr>
    </w:p>
    <w:p w14:paraId="7CCF7CF4" w14:textId="77777777" w:rsidR="00387D18" w:rsidRPr="00FB0590" w:rsidRDefault="00387D18" w:rsidP="00CB36DF">
      <w:pPr>
        <w:ind w:left="-142"/>
        <w:jc w:val="both"/>
      </w:pPr>
    </w:p>
    <w:p w14:paraId="3EF9993F" w14:textId="77777777" w:rsidR="00387D18" w:rsidRPr="00FB0590" w:rsidRDefault="009A4746" w:rsidP="00933841">
      <w:pPr>
        <w:ind w:left="-142"/>
        <w:jc w:val="center"/>
      </w:pPr>
      <w:r w:rsidRPr="00FB0590">
        <w:t>PRESIDENTE</w:t>
      </w:r>
    </w:p>
    <w:p w14:paraId="0878E26D" w14:textId="77777777" w:rsidR="00387D18" w:rsidRPr="00FB0590" w:rsidRDefault="009A4746" w:rsidP="00764BDE">
      <w:pPr>
        <w:ind w:left="-142"/>
        <w:jc w:val="center"/>
      </w:pPr>
      <w:r w:rsidRPr="00FB0590">
        <w:t>GESTOR</w:t>
      </w:r>
    </w:p>
    <w:p w14:paraId="20932F97" w14:textId="77777777" w:rsidR="00387D18" w:rsidRPr="00FB0590" w:rsidRDefault="00387D18" w:rsidP="00764BDE">
      <w:pPr>
        <w:ind w:left="-142"/>
        <w:jc w:val="center"/>
      </w:pPr>
    </w:p>
    <w:p w14:paraId="725D14D4" w14:textId="1A1F47DF" w:rsidR="00387D18" w:rsidRPr="00FB0590" w:rsidRDefault="009A4746" w:rsidP="00A8514C">
      <w:pPr>
        <w:ind w:left="-142"/>
        <w:jc w:val="center"/>
      </w:pPr>
      <w:r w:rsidRPr="00FB0590">
        <w:t>MEMBROS CONSELHOS E COMITE</w:t>
      </w:r>
    </w:p>
    <w:p w14:paraId="77F506F8" w14:textId="77777777" w:rsidR="00387D18" w:rsidRPr="00FB0590" w:rsidRDefault="00387D18" w:rsidP="00764BDE"/>
    <w:p w14:paraId="0E193EF9" w14:textId="77777777" w:rsidR="00387D18" w:rsidRDefault="00387D18" w:rsidP="00764BDE"/>
    <w:p w14:paraId="6A42048F" w14:textId="77777777" w:rsidR="00A8514C" w:rsidRDefault="00A8514C" w:rsidP="00764BDE"/>
    <w:p w14:paraId="34F4BA6B" w14:textId="77777777" w:rsidR="00A8514C" w:rsidRDefault="00A8514C" w:rsidP="00764BDE"/>
    <w:p w14:paraId="41C1FFCC" w14:textId="77777777" w:rsidR="00A8514C" w:rsidRDefault="00A8514C" w:rsidP="00764BDE"/>
    <w:p w14:paraId="0833A908" w14:textId="77777777" w:rsidR="00A8514C" w:rsidRDefault="00A8514C" w:rsidP="00764BDE"/>
    <w:p w14:paraId="2830FC57" w14:textId="77777777" w:rsidR="00A8514C" w:rsidRDefault="00A8514C" w:rsidP="00764BDE"/>
    <w:p w14:paraId="03B14885" w14:textId="77777777" w:rsidR="00A8514C" w:rsidRDefault="00A8514C" w:rsidP="00764BDE"/>
    <w:p w14:paraId="4BB5DFE7" w14:textId="77777777" w:rsidR="00A8514C" w:rsidRDefault="00A8514C" w:rsidP="00764BDE"/>
    <w:p w14:paraId="22445656" w14:textId="77777777" w:rsidR="00A8514C" w:rsidRDefault="00A8514C" w:rsidP="00764BDE"/>
    <w:p w14:paraId="48194345" w14:textId="77777777" w:rsidR="00A8514C" w:rsidRPr="00FB0590" w:rsidRDefault="00A8514C" w:rsidP="00764BDE"/>
    <w:p w14:paraId="79919911" w14:textId="77777777" w:rsidR="00387D18" w:rsidRPr="00FB0590" w:rsidRDefault="009A4746" w:rsidP="00F141D1">
      <w:pPr>
        <w:ind w:left="2124" w:firstLine="708"/>
        <w:jc w:val="both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REFERÊNCIAS</w:t>
      </w:r>
      <w:bookmarkEnd w:id="5"/>
    </w:p>
    <w:p w14:paraId="61AA0D5F" w14:textId="77777777" w:rsidR="00387D18" w:rsidRPr="00FB0590" w:rsidRDefault="00387D18" w:rsidP="00255D2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3CFDA70" w14:textId="77777777" w:rsidR="00387D18" w:rsidRPr="00FB0590" w:rsidRDefault="009A4746" w:rsidP="00764B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 xml:space="preserve">PORTAL DA PREVIDÊNCIA SOCIAL. Sistema de Informação dos Regimes Públicos de Previdência Social (CADPREV). Disponível em: </w:t>
      </w:r>
      <w:hyperlink w:history="1">
        <w:r w:rsidR="00387D18" w:rsidRPr="00FB0590">
          <w:rPr>
            <w:rFonts w:cs="Times New Roman"/>
            <w:szCs w:val="24"/>
          </w:rPr>
          <w:t>http://cadprev.previdencia.gov.br/</w:t>
        </w:r>
      </w:hyperlink>
    </w:p>
    <w:p w14:paraId="67FBEE3A" w14:textId="77777777" w:rsidR="00387D18" w:rsidRPr="00FB0590" w:rsidRDefault="00387D18" w:rsidP="00255D2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6EF045B" w14:textId="77777777" w:rsidR="00387D18" w:rsidRPr="00BA607E" w:rsidRDefault="009A4746" w:rsidP="00764B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it-IT"/>
        </w:rPr>
      </w:pPr>
      <w:r w:rsidRPr="00BA607E">
        <w:rPr>
          <w:rFonts w:cs="Times New Roman"/>
          <w:szCs w:val="24"/>
          <w:lang w:val="it-IT"/>
        </w:rPr>
        <w:t>SISTEMA SGI: http://sgi.referenciagr.net.br/home</w:t>
      </w:r>
    </w:p>
    <w:p w14:paraId="5A86F65E" w14:textId="77777777" w:rsidR="00387D18" w:rsidRPr="00BA607E" w:rsidRDefault="00387D18" w:rsidP="00255D2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it-IT"/>
        </w:rPr>
      </w:pPr>
    </w:p>
    <w:p w14:paraId="06A64FCA" w14:textId="77777777" w:rsidR="00387D18" w:rsidRPr="00BA607E" w:rsidRDefault="00387D18" w:rsidP="00255D2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it-IT"/>
        </w:rPr>
      </w:pPr>
    </w:p>
    <w:p w14:paraId="354FB17B" w14:textId="77777777" w:rsidR="00387D18" w:rsidRPr="00FB0590" w:rsidRDefault="009A4746" w:rsidP="00764B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FB0590">
        <w:rPr>
          <w:rFonts w:cs="Times New Roman"/>
          <w:szCs w:val="24"/>
        </w:rPr>
        <w:t>CONSULTORIA REFERÊNCIA GESTÃO E RISCO</w:t>
      </w:r>
    </w:p>
    <w:p w14:paraId="4D587EE5" w14:textId="77777777" w:rsidR="00387D18" w:rsidRPr="00FB0590" w:rsidRDefault="00387D18" w:rsidP="00255D2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708EE68" w14:textId="77777777" w:rsidR="00387D18" w:rsidRPr="00FB0590" w:rsidRDefault="00387D18" w:rsidP="00255D2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CAEF61C" w14:textId="77777777" w:rsidR="00387D18" w:rsidRPr="00764BDE" w:rsidRDefault="00387D18">
      <w:pPr>
        <w:rPr>
          <w:rFonts w:cs="Times New Roman"/>
          <w:szCs w:val="24"/>
        </w:rPr>
      </w:pPr>
    </w:p>
    <w:sectPr w:rsidR="00387D18" w:rsidRPr="00764BDE" w:rsidSect="00440C94">
      <w:pgSz w:w="11906" w:h="16838"/>
      <w:pgMar w:top="1701" w:right="1134" w:bottom="1134" w:left="1701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1C3B58"/>
    <w:multiLevelType w:val="hybridMultilevel"/>
    <w:tmpl w:val="B1106AA6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6931990">
    <w:abstractNumId w:val="8"/>
  </w:num>
  <w:num w:numId="2" w16cid:durableId="1221746152">
    <w:abstractNumId w:val="6"/>
  </w:num>
  <w:num w:numId="3" w16cid:durableId="278682570">
    <w:abstractNumId w:val="5"/>
  </w:num>
  <w:num w:numId="4" w16cid:durableId="1482430355">
    <w:abstractNumId w:val="4"/>
  </w:num>
  <w:num w:numId="5" w16cid:durableId="384647274">
    <w:abstractNumId w:val="7"/>
  </w:num>
  <w:num w:numId="6" w16cid:durableId="14549829">
    <w:abstractNumId w:val="3"/>
  </w:num>
  <w:num w:numId="7" w16cid:durableId="2116974276">
    <w:abstractNumId w:val="2"/>
  </w:num>
  <w:num w:numId="8" w16cid:durableId="218903068">
    <w:abstractNumId w:val="1"/>
  </w:num>
  <w:num w:numId="9" w16cid:durableId="1861040163">
    <w:abstractNumId w:val="0"/>
  </w:num>
  <w:num w:numId="10" w16cid:durableId="9420362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AF7"/>
    <w:rsid w:val="00055808"/>
    <w:rsid w:val="0006063C"/>
    <w:rsid w:val="000D2665"/>
    <w:rsid w:val="00116B53"/>
    <w:rsid w:val="00123965"/>
    <w:rsid w:val="0015074B"/>
    <w:rsid w:val="001623DC"/>
    <w:rsid w:val="001B793F"/>
    <w:rsid w:val="001D5BD5"/>
    <w:rsid w:val="001D63E9"/>
    <w:rsid w:val="0029639D"/>
    <w:rsid w:val="002B3A3D"/>
    <w:rsid w:val="002C48AC"/>
    <w:rsid w:val="00310BB4"/>
    <w:rsid w:val="00321ACB"/>
    <w:rsid w:val="00326F90"/>
    <w:rsid w:val="00355D0E"/>
    <w:rsid w:val="003855BC"/>
    <w:rsid w:val="00387D18"/>
    <w:rsid w:val="003C6B91"/>
    <w:rsid w:val="00415749"/>
    <w:rsid w:val="00432A30"/>
    <w:rsid w:val="0050263E"/>
    <w:rsid w:val="00505CEC"/>
    <w:rsid w:val="00514B1E"/>
    <w:rsid w:val="0052377E"/>
    <w:rsid w:val="005E50AF"/>
    <w:rsid w:val="00645A06"/>
    <w:rsid w:val="006B5526"/>
    <w:rsid w:val="006E0E64"/>
    <w:rsid w:val="00705233"/>
    <w:rsid w:val="00757074"/>
    <w:rsid w:val="007C4F7D"/>
    <w:rsid w:val="007E3286"/>
    <w:rsid w:val="008007AA"/>
    <w:rsid w:val="00815742"/>
    <w:rsid w:val="00840849"/>
    <w:rsid w:val="00841DB0"/>
    <w:rsid w:val="00860E57"/>
    <w:rsid w:val="008B03D1"/>
    <w:rsid w:val="008C1B8C"/>
    <w:rsid w:val="008D2FF2"/>
    <w:rsid w:val="009A4746"/>
    <w:rsid w:val="009B7D2A"/>
    <w:rsid w:val="00A16CA4"/>
    <w:rsid w:val="00A43E30"/>
    <w:rsid w:val="00A73E33"/>
    <w:rsid w:val="00A8514C"/>
    <w:rsid w:val="00A9372E"/>
    <w:rsid w:val="00AA197A"/>
    <w:rsid w:val="00AA1D8D"/>
    <w:rsid w:val="00AA4433"/>
    <w:rsid w:val="00AB3BA5"/>
    <w:rsid w:val="00AC5BE3"/>
    <w:rsid w:val="00B47730"/>
    <w:rsid w:val="00B85CF5"/>
    <w:rsid w:val="00B87286"/>
    <w:rsid w:val="00BA607E"/>
    <w:rsid w:val="00BA65E9"/>
    <w:rsid w:val="00C5205C"/>
    <w:rsid w:val="00C649A5"/>
    <w:rsid w:val="00C91571"/>
    <w:rsid w:val="00CB0664"/>
    <w:rsid w:val="00CB0EC2"/>
    <w:rsid w:val="00CB36DF"/>
    <w:rsid w:val="00CF33B9"/>
    <w:rsid w:val="00D14F1C"/>
    <w:rsid w:val="00D20321"/>
    <w:rsid w:val="00D30512"/>
    <w:rsid w:val="00D81774"/>
    <w:rsid w:val="00D81882"/>
    <w:rsid w:val="00DA11A9"/>
    <w:rsid w:val="00DA6688"/>
    <w:rsid w:val="00DB6163"/>
    <w:rsid w:val="00E121C4"/>
    <w:rsid w:val="00E21D06"/>
    <w:rsid w:val="00E533B9"/>
    <w:rsid w:val="00EB3F2F"/>
    <w:rsid w:val="00F1745C"/>
    <w:rsid w:val="00F7366D"/>
    <w:rsid w:val="00FB0590"/>
    <w:rsid w:val="00FC693F"/>
    <w:rsid w:val="00FD6FAA"/>
    <w:rsid w:val="00F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9D3AF"/>
  <w14:defaultImageDpi w14:val="300"/>
  <w15:docId w15:val="{90AD6A2E-EBB8-4FD3-B177-8F0C900F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437fba-cd02-4e4b-bec2-3236c92e66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2E7FF6C31364EA7A43C7E327ED5D0" ma:contentTypeVersion="11" ma:contentTypeDescription="Create a new document." ma:contentTypeScope="" ma:versionID="132c22abb9da06def85bf797ab6242f6">
  <xsd:schema xmlns:xsd="http://www.w3.org/2001/XMLSchema" xmlns:xs="http://www.w3.org/2001/XMLSchema" xmlns:p="http://schemas.microsoft.com/office/2006/metadata/properties" xmlns:ns3="2f437fba-cd02-4e4b-bec2-3236c92e66af" targetNamespace="http://schemas.microsoft.com/office/2006/metadata/properties" ma:root="true" ma:fieldsID="22b6ce1e54fca9876402b7e1bf05a745" ns3:_="">
    <xsd:import namespace="2f437fba-cd02-4e4b-bec2-3236c92e66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37fba-cd02-4e4b-bec2-3236c92e66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76B4AD-809C-4082-9DE4-999428FF8495}">
  <ds:schemaRefs>
    <ds:schemaRef ds:uri="http://schemas.microsoft.com/office/2006/metadata/properties"/>
    <ds:schemaRef ds:uri="http://schemas.microsoft.com/office/infopath/2007/PartnerControls"/>
    <ds:schemaRef ds:uri="2f437fba-cd02-4e4b-bec2-3236c92e66af"/>
  </ds:schemaRefs>
</ds:datastoreItem>
</file>

<file path=customXml/itemProps3.xml><?xml version="1.0" encoding="utf-8"?>
<ds:datastoreItem xmlns:ds="http://schemas.openxmlformats.org/officeDocument/2006/customXml" ds:itemID="{1A399278-1627-4926-A483-8D5CE400E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6D8836-3B4A-4EFD-BAAA-8B0CE7722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37fba-cd02-4e4b-bec2-3236c92e6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2811</Words>
  <Characters>15183</Characters>
  <Application>Microsoft Office Word</Application>
  <DocSecurity>0</DocSecurity>
  <Lines>126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Computador</cp:lastModifiedBy>
  <cp:revision>2</cp:revision>
  <dcterms:created xsi:type="dcterms:W3CDTF">2026-07-23T18:23:00Z</dcterms:created>
  <dcterms:modified xsi:type="dcterms:W3CDTF">2026-07-23T18:23:00Z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0x0101006BF2E7FF6C31364EA7A43C7E327ED5D0</vt:lpwstr>
  </property>
</Properties>
</file>