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75E24" w14:textId="77777777" w:rsidR="002F1C13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ESTUDO TÉCNICO PRELIMINAR </w:t>
      </w:r>
      <w:r>
        <w:rPr>
          <w:rFonts w:cstheme="minorHAnsi"/>
          <w:b/>
          <w:sz w:val="24"/>
          <w:szCs w:val="24"/>
        </w:rPr>
        <w:t xml:space="preserve">Nº XXX/2024 </w:t>
      </w:r>
      <w:r>
        <w:rPr>
          <w:rFonts w:cstheme="minorHAnsi"/>
          <w:i/>
          <w:iCs/>
          <w:color w:val="FF0000"/>
          <w:sz w:val="24"/>
          <w:szCs w:val="24"/>
        </w:rPr>
        <w:t>(atribuir número e ano ao documento [ordem interna do setor/área demandante])</w:t>
      </w:r>
    </w:p>
    <w:p w14:paraId="0B0350B1" w14:textId="77777777" w:rsidR="002F1C13" w:rsidRDefault="002F1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Cs/>
          <w:sz w:val="24"/>
          <w:szCs w:val="24"/>
        </w:rPr>
      </w:pPr>
    </w:p>
    <w:p w14:paraId="193B3FF7" w14:textId="77777777" w:rsidR="002F1C13" w:rsidRDefault="00000000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 w:cstheme="minorHAnsi"/>
          <w:b/>
          <w:sz w:val="24"/>
          <w:szCs w:val="24"/>
        </w:rPr>
      </w:pPr>
      <w:commentRangeStart w:id="0"/>
      <w:r>
        <w:rPr>
          <w:rFonts w:eastAsia="Calibri" w:cstheme="minorHAnsi"/>
          <w:b/>
          <w:sz w:val="24"/>
          <w:szCs w:val="24"/>
        </w:rPr>
        <w:t>DESCRIÇÃO DA NECESSIDADE</w:t>
      </w:r>
      <w:commentRangeEnd w:id="0"/>
      <w:r>
        <w:rPr>
          <w:rStyle w:val="Refdecomentrio"/>
          <w:kern w:val="2"/>
          <w14:ligatures w14:val="standardContextual"/>
        </w:rPr>
        <w:commentReference w:id="0"/>
      </w:r>
    </w:p>
    <w:p w14:paraId="6B4A3571" w14:textId="77777777" w:rsidR="002F1C13" w:rsidRDefault="002F1C13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Calibri" w:cstheme="minorHAnsi"/>
          <w:sz w:val="24"/>
          <w:szCs w:val="24"/>
        </w:rPr>
      </w:pPr>
    </w:p>
    <w:p w14:paraId="18F119ED" w14:textId="77777777" w:rsidR="002F1C13" w:rsidRDefault="00000000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 necessidade da contratação se evidencia </w:t>
      </w:r>
      <w:r>
        <w:rPr>
          <w:rFonts w:eastAsia="Times New Roman" w:cstheme="minorHAnsi"/>
          <w:color w:val="FF0000"/>
          <w:sz w:val="24"/>
          <w:szCs w:val="24"/>
        </w:rPr>
        <w:t xml:space="preserve">………………, portanto, …………………. </w:t>
      </w:r>
      <w:r>
        <w:rPr>
          <w:rFonts w:eastAsia="Times New Roman" w:cstheme="minorHAnsi"/>
          <w:sz w:val="24"/>
          <w:szCs w:val="24"/>
        </w:rPr>
        <w:t xml:space="preserve">O não atendimento da demanda acarreta </w:t>
      </w:r>
      <w:r>
        <w:rPr>
          <w:rFonts w:eastAsia="Times New Roman" w:cstheme="minorHAnsi"/>
          <w:color w:val="FF0000"/>
          <w:sz w:val="24"/>
          <w:szCs w:val="24"/>
        </w:rPr>
        <w:t xml:space="preserve">…………………………. </w:t>
      </w:r>
    </w:p>
    <w:p w14:paraId="747C65E5" w14:textId="77777777" w:rsidR="002F1C13" w:rsidRDefault="002F1C1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635E095C" w14:textId="77777777" w:rsidR="002F1C13" w:rsidRDefault="00000000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</w:rPr>
      </w:pPr>
      <w:r>
        <w:rPr>
          <w:rFonts w:eastAsia="Times New Roman" w:cstheme="minorHAnsi"/>
          <w:b/>
          <w:bCs/>
          <w:color w:val="FF0000"/>
          <w:sz w:val="24"/>
          <w:szCs w:val="24"/>
        </w:rPr>
        <w:t xml:space="preserve">O(s) serviço(s) </w:t>
      </w:r>
      <w:r>
        <w:rPr>
          <w:rFonts w:eastAsia="Times New Roman" w:cstheme="minorHAnsi"/>
          <w:b/>
          <w:bCs/>
          <w:i/>
          <w:iCs/>
          <w:color w:val="FF0000"/>
          <w:sz w:val="24"/>
          <w:szCs w:val="24"/>
          <w:u w:val="single"/>
        </w:rPr>
        <w:t>ou</w:t>
      </w:r>
      <w:r>
        <w:rPr>
          <w:rFonts w:eastAsia="Times New Roman" w:cstheme="minorHAnsi"/>
          <w:b/>
          <w:bCs/>
          <w:color w:val="FF0000"/>
          <w:sz w:val="24"/>
          <w:szCs w:val="24"/>
        </w:rPr>
        <w:t xml:space="preserve"> bem(s) objeto desta contratação são caracterizados como comum(ns), em razão de …………</w:t>
      </w:r>
    </w:p>
    <w:p w14:paraId="299A0256" w14:textId="77777777" w:rsidR="002F1C13" w:rsidRDefault="00000000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FF0000"/>
          <w:sz w:val="24"/>
          <w:szCs w:val="24"/>
          <w:u w:val="single"/>
        </w:rPr>
      </w:pPr>
      <w:r>
        <w:rPr>
          <w:rFonts w:eastAsia="Times New Roman" w:cstheme="minorHAnsi"/>
          <w:b/>
          <w:bCs/>
          <w:i/>
          <w:iCs/>
          <w:color w:val="FF0000"/>
          <w:sz w:val="24"/>
          <w:szCs w:val="24"/>
          <w:u w:val="single"/>
        </w:rPr>
        <w:t>Ou</w:t>
      </w:r>
    </w:p>
    <w:p w14:paraId="14587702" w14:textId="77777777" w:rsidR="002F1C13" w:rsidRDefault="00000000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</w:rPr>
      </w:pPr>
      <w:r>
        <w:rPr>
          <w:rFonts w:eastAsia="Times New Roman" w:cstheme="minorHAnsi"/>
          <w:b/>
          <w:bCs/>
          <w:color w:val="FF0000"/>
          <w:sz w:val="24"/>
          <w:szCs w:val="24"/>
        </w:rPr>
        <w:t xml:space="preserve">O(s) serviço(s) </w:t>
      </w:r>
      <w:r>
        <w:rPr>
          <w:rFonts w:eastAsia="Times New Roman" w:cstheme="minorHAnsi"/>
          <w:b/>
          <w:bCs/>
          <w:i/>
          <w:iCs/>
          <w:color w:val="FF0000"/>
          <w:sz w:val="24"/>
          <w:szCs w:val="24"/>
          <w:u w:val="single"/>
        </w:rPr>
        <w:t>ou</w:t>
      </w:r>
      <w:r>
        <w:rPr>
          <w:rFonts w:eastAsia="Times New Roman" w:cstheme="minorHAnsi"/>
          <w:b/>
          <w:bCs/>
          <w:color w:val="FF0000"/>
          <w:sz w:val="24"/>
          <w:szCs w:val="24"/>
        </w:rPr>
        <w:t xml:space="preserve"> bem(s) objeto desta contratação não são caracterizados como comum(ns), em razão de …………</w:t>
      </w:r>
    </w:p>
    <w:p w14:paraId="20DA526F" w14:textId="77777777" w:rsidR="002F1C13" w:rsidRDefault="00000000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FF0000"/>
          <w:sz w:val="24"/>
          <w:szCs w:val="24"/>
          <w:u w:val="single"/>
        </w:rPr>
      </w:pPr>
      <w:r>
        <w:rPr>
          <w:rFonts w:eastAsia="Times New Roman" w:cstheme="minorHAnsi"/>
          <w:b/>
          <w:bCs/>
          <w:i/>
          <w:iCs/>
          <w:color w:val="FF0000"/>
          <w:sz w:val="24"/>
          <w:szCs w:val="24"/>
          <w:u w:val="single"/>
        </w:rPr>
        <w:t>OU</w:t>
      </w:r>
    </w:p>
    <w:p w14:paraId="72992378" w14:textId="77777777" w:rsidR="002F1C13" w:rsidRDefault="00000000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</w:rPr>
      </w:pPr>
      <w:r>
        <w:rPr>
          <w:rFonts w:eastAsia="Times New Roman" w:cstheme="minorHAnsi"/>
          <w:b/>
          <w:bCs/>
          <w:color w:val="FF0000"/>
          <w:sz w:val="24"/>
          <w:szCs w:val="24"/>
        </w:rPr>
        <w:t>A obra objeto desta contratação é caracterizada como comum, em razão de …………</w:t>
      </w:r>
    </w:p>
    <w:p w14:paraId="77F2A6CE" w14:textId="77777777" w:rsidR="002F1C13" w:rsidRDefault="00000000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FF0000"/>
          <w:sz w:val="24"/>
          <w:szCs w:val="24"/>
          <w:u w:val="single"/>
        </w:rPr>
      </w:pPr>
      <w:r>
        <w:rPr>
          <w:rFonts w:eastAsia="Times New Roman" w:cstheme="minorHAnsi"/>
          <w:b/>
          <w:bCs/>
          <w:i/>
          <w:iCs/>
          <w:color w:val="FF0000"/>
          <w:sz w:val="24"/>
          <w:szCs w:val="24"/>
          <w:u w:val="single"/>
        </w:rPr>
        <w:t>Ou</w:t>
      </w:r>
    </w:p>
    <w:p w14:paraId="32F6228D" w14:textId="77777777" w:rsidR="002F1C13" w:rsidRDefault="00000000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</w:rPr>
      </w:pPr>
      <w:r>
        <w:rPr>
          <w:rFonts w:eastAsia="Times New Roman" w:cstheme="minorHAnsi"/>
          <w:b/>
          <w:bCs/>
          <w:color w:val="FF0000"/>
          <w:sz w:val="24"/>
          <w:szCs w:val="24"/>
        </w:rPr>
        <w:t>A obra objeto desta contratação não é caracterizada como comum, em razão de …………</w:t>
      </w:r>
    </w:p>
    <w:p w14:paraId="27983C7D" w14:textId="77777777" w:rsidR="002F1C13" w:rsidRDefault="002F1C13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Calibri" w:cstheme="minorHAnsi"/>
          <w:bCs/>
          <w:sz w:val="24"/>
          <w:szCs w:val="24"/>
        </w:rPr>
      </w:pPr>
    </w:p>
    <w:p w14:paraId="165542E8" w14:textId="77777777" w:rsidR="002F1C13" w:rsidRDefault="002F1C13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Calibri" w:cstheme="minorHAnsi"/>
          <w:b/>
          <w:bCs/>
          <w:sz w:val="24"/>
          <w:szCs w:val="24"/>
        </w:rPr>
      </w:pPr>
    </w:p>
    <w:p w14:paraId="5FF47A4C" w14:textId="77777777" w:rsidR="002F1C13" w:rsidRDefault="00000000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commentRangeStart w:id="1"/>
      <w:r>
        <w:rPr>
          <w:rFonts w:eastAsia="Calibri" w:cstheme="minorHAnsi"/>
          <w:b/>
          <w:bCs/>
          <w:sz w:val="24"/>
          <w:szCs w:val="24"/>
        </w:rPr>
        <w:t>QUANTITATIVO ESTIMADO DOS ITENS POR SOLUÇÃO</w:t>
      </w:r>
      <w:commentRangeEnd w:id="1"/>
      <w:r>
        <w:rPr>
          <w:rStyle w:val="Refdecomentrio"/>
          <w:kern w:val="2"/>
          <w14:ligatures w14:val="standardContextual"/>
        </w:rPr>
        <w:commentReference w:id="1"/>
      </w:r>
    </w:p>
    <w:p w14:paraId="69D73FBA" w14:textId="77777777" w:rsidR="002F1C13" w:rsidRDefault="00000000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</w:rPr>
      </w:pPr>
      <w:r>
        <w:rPr>
          <w:rFonts w:eastAsia="Times New Roman" w:cstheme="minorHAnsi"/>
          <w:b/>
          <w:bCs/>
          <w:color w:val="FF0000"/>
          <w:sz w:val="24"/>
          <w:szCs w:val="24"/>
        </w:rPr>
        <w:t>Com base .........………, se faz necessário o quantitativo de …………………</w:t>
      </w:r>
    </w:p>
    <w:p w14:paraId="01B4BB82" w14:textId="77777777" w:rsidR="002F1C13" w:rsidRDefault="002F1C13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</w:rPr>
      </w:pPr>
    </w:p>
    <w:p w14:paraId="0D8A2426" w14:textId="77777777" w:rsidR="002F1C13" w:rsidRDefault="002F1C13">
      <w:pPr>
        <w:spacing w:after="0" w:line="240" w:lineRule="auto"/>
        <w:ind w:right="4"/>
        <w:jc w:val="both"/>
        <w:rPr>
          <w:rFonts w:cstheme="minorHAnsi"/>
          <w:sz w:val="24"/>
          <w:szCs w:val="24"/>
        </w:rPr>
      </w:pPr>
    </w:p>
    <w:p w14:paraId="079988F2" w14:textId="77777777" w:rsidR="002F1C13" w:rsidRDefault="00000000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 w:cstheme="minorHAnsi"/>
          <w:b/>
          <w:bCs/>
          <w:sz w:val="24"/>
          <w:szCs w:val="24"/>
        </w:rPr>
      </w:pPr>
      <w:commentRangeStart w:id="2"/>
      <w:r>
        <w:rPr>
          <w:rFonts w:eastAsia="Calibri" w:cstheme="minorHAnsi"/>
          <w:b/>
          <w:bCs/>
          <w:sz w:val="24"/>
          <w:szCs w:val="24"/>
        </w:rPr>
        <w:t>ESTIMATIVA DO VALOR DA CONTRATAÇÃO</w:t>
      </w:r>
      <w:commentRangeEnd w:id="2"/>
      <w:r>
        <w:rPr>
          <w:rStyle w:val="Refdecomentrio"/>
          <w:kern w:val="2"/>
          <w14:ligatures w14:val="standardContextual"/>
        </w:rPr>
        <w:commentReference w:id="2"/>
      </w:r>
    </w:p>
    <w:p w14:paraId="0B85D9DB" w14:textId="77777777" w:rsidR="002F1C13" w:rsidRDefault="00000000">
      <w:pPr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i/>
          <w:iCs/>
          <w:color w:val="FF0000"/>
          <w:sz w:val="24"/>
          <w:szCs w:val="24"/>
        </w:rPr>
        <w:t>Com base na pesquisa realizada, conforme documentos anexos, se verificou que o valor estimado é de R$ ………(valor por extenso).</w:t>
      </w:r>
    </w:p>
    <w:p w14:paraId="290350D2" w14:textId="77777777" w:rsidR="002F1C13" w:rsidRDefault="002F1C13">
      <w:pPr>
        <w:pStyle w:val="PargrafodaLista"/>
        <w:spacing w:after="0" w:line="240" w:lineRule="auto"/>
        <w:ind w:left="360"/>
        <w:jc w:val="both"/>
        <w:rPr>
          <w:rFonts w:cstheme="minorHAnsi"/>
          <w:b/>
          <w:sz w:val="24"/>
          <w:szCs w:val="24"/>
        </w:rPr>
      </w:pPr>
    </w:p>
    <w:p w14:paraId="7F404CD8" w14:textId="77777777" w:rsidR="002F1C13" w:rsidRDefault="00000000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 w:cstheme="minorHAnsi"/>
          <w:b/>
          <w:bCs/>
          <w:sz w:val="24"/>
          <w:szCs w:val="24"/>
        </w:rPr>
      </w:pPr>
      <w:commentRangeStart w:id="3"/>
      <w:r>
        <w:rPr>
          <w:rFonts w:eastAsia="Calibri" w:cstheme="minorHAnsi"/>
          <w:b/>
          <w:bCs/>
          <w:sz w:val="24"/>
          <w:szCs w:val="24"/>
        </w:rPr>
        <w:t>JUSTIFICATIVA DO PARCELAMENTO OU NÃO DA SOLUÇÃO</w:t>
      </w:r>
      <w:commentRangeEnd w:id="3"/>
      <w:r>
        <w:rPr>
          <w:rStyle w:val="Refdecomentrio"/>
          <w:kern w:val="2"/>
          <w14:ligatures w14:val="standardContextual"/>
        </w:rPr>
        <w:commentReference w:id="3"/>
      </w:r>
    </w:p>
    <w:p w14:paraId="4D557CFC" w14:textId="77777777" w:rsidR="002F1C13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parcelamento deve ocorrer sempre que for tecnicamente viável e economicamente vantajoso.</w:t>
      </w:r>
    </w:p>
    <w:p w14:paraId="63A8B466" w14:textId="77777777" w:rsidR="002F1C13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>Na adoção da presente solução não se vislumbra motivos para a não adoção do parcelamento.</w:t>
      </w:r>
    </w:p>
    <w:p w14:paraId="5A1D99A0" w14:textId="77777777" w:rsidR="002F1C13" w:rsidRDefault="00000000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4"/>
          <w:szCs w:val="24"/>
          <w:u w:val="single"/>
        </w:rPr>
      </w:pPr>
      <w:r>
        <w:rPr>
          <w:rFonts w:cstheme="minorHAnsi"/>
          <w:b/>
          <w:bCs/>
          <w:color w:val="FF0000"/>
          <w:sz w:val="24"/>
          <w:szCs w:val="24"/>
          <w:u w:val="single"/>
        </w:rPr>
        <w:t>OU</w:t>
      </w:r>
    </w:p>
    <w:p w14:paraId="3C9B7088" w14:textId="77777777" w:rsidR="002F1C13" w:rsidRDefault="00000000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>Na adoção da presente solução o parcelamento não se mostra viável por ........</w:t>
      </w:r>
    </w:p>
    <w:p w14:paraId="3238F057" w14:textId="77777777" w:rsidR="002F1C13" w:rsidRDefault="002F1C13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D6918C4" w14:textId="77777777" w:rsidR="002F1C13" w:rsidRDefault="0000000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 </w:t>
      </w:r>
      <w:commentRangeStart w:id="4"/>
      <w:r>
        <w:rPr>
          <w:rFonts w:eastAsia="Calibri" w:cstheme="minorHAnsi"/>
          <w:b/>
          <w:bCs/>
          <w:sz w:val="24"/>
          <w:szCs w:val="24"/>
        </w:rPr>
        <w:t>DECLARAÇÃO DE VIABILIDADE</w:t>
      </w:r>
      <w:commentRangeEnd w:id="4"/>
      <w:r>
        <w:rPr>
          <w:rStyle w:val="Refdecomentrio"/>
        </w:rPr>
        <w:commentReference w:id="4"/>
      </w:r>
    </w:p>
    <w:p w14:paraId="0245599F" w14:textId="77777777" w:rsidR="002F1C13" w:rsidRDefault="00000000">
      <w:pPr>
        <w:pStyle w:val="PargrafodaLista"/>
        <w:spacing w:after="0" w:line="240" w:lineRule="auto"/>
        <w:ind w:left="0" w:right="-15"/>
        <w:jc w:val="both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>O presente estudo evidência que a contratação da solução se mostra possível tecnicamente e fundamentadamente necessária. Diante do exposto, declara-se ser viável a contratação pretendida.</w:t>
      </w:r>
    </w:p>
    <w:p w14:paraId="398BEB39" w14:textId="77777777" w:rsidR="002F1C13" w:rsidRDefault="002F1C13">
      <w:pPr>
        <w:spacing w:after="0" w:line="240" w:lineRule="auto"/>
        <w:ind w:right="-15"/>
        <w:jc w:val="both"/>
        <w:rPr>
          <w:rFonts w:cstheme="minorHAnsi"/>
          <w:b/>
          <w:sz w:val="24"/>
          <w:szCs w:val="24"/>
        </w:rPr>
      </w:pPr>
    </w:p>
    <w:p w14:paraId="47CBC7F8" w14:textId="537BE15A" w:rsidR="002F1C13" w:rsidRDefault="00BC3254">
      <w:pPr>
        <w:spacing w:after="0"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Santa Bárbara do Sul</w:t>
      </w:r>
      <w:r w:rsidR="00000000">
        <w:rPr>
          <w:rFonts w:eastAsia="Calibri" w:cstheme="minorHAnsi"/>
          <w:sz w:val="24"/>
          <w:szCs w:val="24"/>
        </w:rPr>
        <w:t xml:space="preserve">/RS, </w:t>
      </w:r>
      <w:r w:rsidR="00000000">
        <w:rPr>
          <w:rFonts w:eastAsia="Calibri" w:cstheme="minorHAnsi"/>
          <w:color w:val="FF0000"/>
          <w:sz w:val="24"/>
          <w:szCs w:val="24"/>
        </w:rPr>
        <w:t>XX/XX/XXXX</w:t>
      </w:r>
      <w:r w:rsidR="00000000">
        <w:rPr>
          <w:rFonts w:eastAsia="Calibri" w:cstheme="minorHAnsi"/>
          <w:sz w:val="24"/>
          <w:szCs w:val="24"/>
        </w:rPr>
        <w:t>.</w:t>
      </w:r>
    </w:p>
    <w:p w14:paraId="6FC352E7" w14:textId="77777777" w:rsidR="002F1C13" w:rsidRDefault="002F1C13">
      <w:pPr>
        <w:spacing w:after="0" w:line="240" w:lineRule="auto"/>
        <w:jc w:val="right"/>
        <w:rPr>
          <w:rFonts w:eastAsia="Calibri" w:cstheme="minorHAnsi"/>
          <w:sz w:val="24"/>
          <w:szCs w:val="24"/>
        </w:rPr>
      </w:pPr>
    </w:p>
    <w:p w14:paraId="335051A5" w14:textId="77777777" w:rsidR="002F1C13" w:rsidRDefault="00000000">
      <w:pPr>
        <w:jc w:val="center"/>
        <w:rPr>
          <w:rFonts w:eastAsia="Calibri" w:cstheme="minorHAnsi"/>
          <w:color w:val="FF0000"/>
          <w:sz w:val="24"/>
          <w:szCs w:val="24"/>
        </w:rPr>
      </w:pPr>
      <w:r>
        <w:rPr>
          <w:rFonts w:eastAsia="Calibri" w:cstheme="minorHAnsi"/>
          <w:color w:val="FF0000"/>
          <w:sz w:val="24"/>
          <w:szCs w:val="24"/>
        </w:rPr>
        <w:t>__________________________________</w:t>
      </w:r>
    </w:p>
    <w:p w14:paraId="2B58E5CF" w14:textId="77777777" w:rsidR="002F1C13" w:rsidRDefault="0000000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eastAsia="Calibri" w:cstheme="minorHAnsi"/>
          <w:color w:val="FF0000"/>
          <w:sz w:val="24"/>
          <w:szCs w:val="24"/>
        </w:rPr>
        <w:t>Assinatura do(s) servidor(es) (ou equipe) responsável(is)</w:t>
      </w:r>
    </w:p>
    <w:sectPr w:rsidR="002F1C13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Karina Doninelli" w:date="2024-03-11T23:54:00Z" w:initials="KD">
    <w:p w14:paraId="3A8E0176" w14:textId="77777777" w:rsidR="002F1C13" w:rsidRDefault="00000000">
      <w:pPr>
        <w:pStyle w:val="Textodecomentrio"/>
      </w:pPr>
      <w:r>
        <w:rPr>
          <w:b/>
          <w:bCs/>
          <w:i/>
          <w:iCs/>
          <w:color w:val="000000"/>
        </w:rPr>
        <w:t>Nota Explicativa 1:</w:t>
      </w:r>
      <w:r>
        <w:rPr>
          <w:i/>
          <w:iCs/>
          <w:color w:val="000000"/>
        </w:rPr>
        <w:t xml:space="preserve"> É a justificativa para a contratação, que surge em decorrência de uma demanda que precisa ser atendida sob a perspectiva do interesse público. É a base para a definição dos demais temas do ETP - Estudo Técnico Preliminar. Cabe a área requisitante apresentar as justificativas necessárias. </w:t>
      </w:r>
    </w:p>
    <w:p w14:paraId="723A2E30" w14:textId="77777777" w:rsidR="002F1C13" w:rsidRDefault="00000000">
      <w:pPr>
        <w:pStyle w:val="Textodecomentrio"/>
      </w:pPr>
      <w:r>
        <w:rPr>
          <w:b/>
          <w:bCs/>
          <w:i/>
          <w:iCs/>
          <w:color w:val="000000"/>
        </w:rPr>
        <w:t>Nota Explicativa 2:</w:t>
      </w:r>
      <w:r>
        <w:rPr>
          <w:i/>
          <w:iCs/>
          <w:color w:val="000000"/>
        </w:rPr>
        <w:t xml:space="preserve"> Aqui deve ser informado se o objeto ou serviço pretendido é comum ou especial, apresentando justificativa para tal enquadramento:</w:t>
      </w:r>
    </w:p>
    <w:p w14:paraId="32ED1641" w14:textId="77777777" w:rsidR="002F1C13" w:rsidRDefault="00000000">
      <w:pPr>
        <w:pStyle w:val="Textodecomentrio"/>
      </w:pPr>
      <w:r>
        <w:rPr>
          <w:i/>
          <w:iCs/>
          <w:color w:val="000000"/>
        </w:rPr>
        <w:t>- Bens e serviços comuns: aqueles cujos padrões de desempenho e qualidade podem ser objetivamente definidos pelo edital, por meio de especificações usuais de mercado;</w:t>
      </w:r>
    </w:p>
    <w:p w14:paraId="7EDD7710" w14:textId="77777777" w:rsidR="002F1C13" w:rsidRDefault="00000000">
      <w:pPr>
        <w:pStyle w:val="Textodecomentrio"/>
      </w:pPr>
      <w:r>
        <w:rPr>
          <w:i/>
          <w:iCs/>
          <w:color w:val="000000"/>
        </w:rPr>
        <w:t>- Bens e serviços especiais: aqueles que, por sua alta heterogeneidade ou complexidade, não podem ser descritos na forma do item acima;</w:t>
      </w:r>
    </w:p>
    <w:p w14:paraId="1D4B42C6" w14:textId="77777777" w:rsidR="002F1C13" w:rsidRDefault="00000000">
      <w:pPr>
        <w:pStyle w:val="Textodecomentrio"/>
      </w:pPr>
      <w:r>
        <w:rPr>
          <w:i/>
          <w:iCs/>
          <w:color w:val="000000"/>
        </w:rPr>
        <w:t xml:space="preserve">- Obra ou serviço comum de engenharia: todo serviço de engenharia que tem por objeto ações, objetivamente padronizáveis em termos de desempenho e qualidade, de manutenção, de adequação e de adaptação de bens móveis e imóveis, com preservação das características originais dos bens. Para definir se uma obra ou serviço de engenharia é comum, sugerimos utilizar a </w:t>
      </w:r>
      <w:hyperlink r:id="rId1" w:history="1">
        <w:r>
          <w:rPr>
            <w:rStyle w:val="Hyperlink"/>
            <w:rFonts w:asciiTheme="minorHAnsi" w:hAnsiTheme="minorHAnsi" w:cstheme="minorBidi"/>
            <w:i/>
            <w:iCs/>
          </w:rPr>
          <w:t>Nota Técnica IBRAOP nº 01/2021</w:t>
        </w:r>
      </w:hyperlink>
      <w:r>
        <w:rPr>
          <w:i/>
          <w:iCs/>
          <w:color w:val="000000"/>
        </w:rPr>
        <w:t>;</w:t>
      </w:r>
    </w:p>
    <w:p w14:paraId="7E973270" w14:textId="77777777" w:rsidR="002F1C13" w:rsidRDefault="00000000">
      <w:pPr>
        <w:pStyle w:val="Textodecomentrio"/>
      </w:pPr>
      <w:r>
        <w:rPr>
          <w:i/>
          <w:iCs/>
          <w:color w:val="000000"/>
        </w:rPr>
        <w:t xml:space="preserve">- Obra ou serviço especial de engenharia: aquele que, por sua alta heterogeneidade ou complexidade, não pode se enquadrar na definição constante no item acima. Para definir se uma obra ou serviço de engenharia é especial, sugerimos utilizar a </w:t>
      </w:r>
      <w:hyperlink r:id="rId2" w:history="1">
        <w:r>
          <w:rPr>
            <w:rStyle w:val="Hyperlink"/>
            <w:rFonts w:asciiTheme="minorHAnsi" w:hAnsiTheme="minorHAnsi" w:cstheme="minorBidi"/>
            <w:i/>
            <w:iCs/>
          </w:rPr>
          <w:t>Nota Técnica IBRAOP nº 01/2021</w:t>
        </w:r>
      </w:hyperlink>
      <w:r>
        <w:rPr>
          <w:i/>
          <w:iCs/>
          <w:color w:val="000000"/>
        </w:rPr>
        <w:t xml:space="preserve">. </w:t>
      </w:r>
    </w:p>
    <w:p w14:paraId="1DE94A4A" w14:textId="77777777" w:rsidR="002F1C13" w:rsidRDefault="00000000">
      <w:pPr>
        <w:pStyle w:val="Textodecomentrio"/>
      </w:pPr>
      <w:r>
        <w:rPr>
          <w:b/>
          <w:bCs/>
          <w:i/>
          <w:iCs/>
          <w:color w:val="000000"/>
        </w:rPr>
        <w:t>Nota Explicativa 3:</w:t>
      </w:r>
      <w:r>
        <w:rPr>
          <w:i/>
          <w:iCs/>
          <w:color w:val="000000"/>
        </w:rPr>
        <w:t xml:space="preserve"> Caso o serviço de engenharia seja classificado como comum e o critério de julgamento for o de menor preço ou o de maior desconto, DEVERÁ ser licitado utilizando a modalidade Pregão.</w:t>
      </w:r>
    </w:p>
    <w:p w14:paraId="34E46956" w14:textId="77777777" w:rsidR="002F1C13" w:rsidRDefault="00000000">
      <w:pPr>
        <w:pStyle w:val="Textodecomentrio"/>
      </w:pPr>
      <w:r>
        <w:rPr>
          <w:b/>
          <w:bCs/>
          <w:i/>
          <w:iCs/>
          <w:color w:val="000000"/>
        </w:rPr>
        <w:t>Nota Explicativa 4:</w:t>
      </w:r>
      <w:r>
        <w:rPr>
          <w:i/>
          <w:iCs/>
          <w:color w:val="000000"/>
        </w:rPr>
        <w:t xml:space="preserve"> Caso a obra ou serviço de engenharia seja classificado como especial, o critério de julgamento </w:t>
      </w:r>
      <w:r>
        <w:rPr>
          <w:b/>
          <w:bCs/>
          <w:i/>
          <w:iCs/>
          <w:color w:val="000000"/>
        </w:rPr>
        <w:t>OBRIGATORIAMENTE</w:t>
      </w:r>
      <w:r>
        <w:rPr>
          <w:i/>
          <w:iCs/>
          <w:color w:val="000000"/>
        </w:rPr>
        <w:t xml:space="preserve"> será o de </w:t>
      </w:r>
      <w:r>
        <w:rPr>
          <w:b/>
          <w:bCs/>
          <w:i/>
          <w:iCs/>
          <w:color w:val="000000"/>
        </w:rPr>
        <w:t>TÉCNICA E PREÇO</w:t>
      </w:r>
      <w:r>
        <w:rPr>
          <w:i/>
          <w:iCs/>
          <w:color w:val="000000"/>
        </w:rPr>
        <w:t xml:space="preserve"> (</w:t>
      </w:r>
      <w:hyperlink r:id="rId3" w:anchor="art36" w:history="1">
        <w:r>
          <w:rPr>
            <w:rStyle w:val="Hyperlink"/>
            <w:rFonts w:asciiTheme="minorHAnsi" w:hAnsiTheme="minorHAnsi" w:cstheme="minorBidi"/>
            <w:i/>
            <w:iCs/>
          </w:rPr>
          <w:t>art. 36, §1º, IV da Lei nº 14.133, de 2021</w:t>
        </w:r>
      </w:hyperlink>
      <w:r>
        <w:rPr>
          <w:i/>
          <w:iCs/>
          <w:color w:val="000000"/>
        </w:rPr>
        <w:t>).</w:t>
      </w:r>
    </w:p>
    <w:p w14:paraId="7A4B06A7" w14:textId="77777777" w:rsidR="002F1C13" w:rsidRDefault="00000000">
      <w:pPr>
        <w:pStyle w:val="Textodecomentrio"/>
      </w:pPr>
      <w:r>
        <w:rPr>
          <w:b/>
          <w:bCs/>
          <w:i/>
          <w:iCs/>
          <w:color w:val="000000"/>
        </w:rPr>
        <w:t>Nota Explicativa 5:</w:t>
      </w:r>
      <w:r>
        <w:rPr>
          <w:i/>
          <w:iCs/>
          <w:color w:val="000000"/>
        </w:rPr>
        <w:t xml:space="preserve"> As redações são meramente exemplificativas.</w:t>
      </w:r>
    </w:p>
    <w:p w14:paraId="2A831208" w14:textId="77777777" w:rsidR="002F1C13" w:rsidRDefault="00000000">
      <w:pPr>
        <w:pStyle w:val="Textodecomentrio"/>
      </w:pPr>
      <w:r>
        <w:rPr>
          <w:b/>
          <w:bCs/>
          <w:i/>
          <w:iCs/>
          <w:color w:val="FF0000"/>
        </w:rPr>
        <w:t>ESTE ITEM É DE PREENCHIMENTO OBRIGATÓRIO</w:t>
      </w:r>
      <w:r>
        <w:rPr>
          <w:i/>
          <w:iCs/>
          <w:color w:val="000000"/>
        </w:rPr>
        <w:t>.</w:t>
      </w:r>
    </w:p>
  </w:comment>
  <w:comment w:id="1" w:author="Karina Doninelli" w:date="2024-03-11T23:59:00Z" w:initials="KD">
    <w:p w14:paraId="514A5AEE" w14:textId="77777777" w:rsidR="002F1C13" w:rsidRDefault="00000000">
      <w:pPr>
        <w:pStyle w:val="Textodecomentrio"/>
      </w:pPr>
      <w:r>
        <w:rPr>
          <w:b/>
          <w:bCs/>
          <w:i/>
          <w:iCs/>
          <w:color w:val="000000"/>
        </w:rPr>
        <w:t>Nota Explicativa 1</w:t>
      </w:r>
      <w:r>
        <w:rPr>
          <w:i/>
          <w:iCs/>
          <w:color w:val="000000"/>
        </w:rPr>
        <w:t xml:space="preserve">: Realizar a estimativa das quantidades a serem contratadas deve ser acompanhada das memórias de cálculo e dos documentos que lhe dão suporte, considerando a interdependência com outras contratações, de modo a possibilitar economia de escala. </w:t>
      </w:r>
    </w:p>
    <w:p w14:paraId="462937CE" w14:textId="77777777" w:rsidR="002F1C13" w:rsidRDefault="00000000">
      <w:pPr>
        <w:pStyle w:val="Textodecomentrio"/>
      </w:pPr>
      <w:r>
        <w:rPr>
          <w:b/>
          <w:bCs/>
          <w:i/>
          <w:iCs/>
          <w:color w:val="000000"/>
        </w:rPr>
        <w:t>Nota Explicativa 2:</w:t>
      </w:r>
      <w:r>
        <w:rPr>
          <w:i/>
          <w:iCs/>
          <w:color w:val="000000"/>
        </w:rPr>
        <w:t xml:space="preserve"> Importante definir e documentar o método usado para estimar as quantidades a serem adquiridas, utilizando informações de aquisições anteriores. </w:t>
      </w:r>
    </w:p>
    <w:p w14:paraId="19653950" w14:textId="77777777" w:rsidR="002F1C13" w:rsidRDefault="00000000">
      <w:pPr>
        <w:pStyle w:val="Textodecomentrio"/>
      </w:pPr>
      <w:r>
        <w:rPr>
          <w:b/>
          <w:bCs/>
          <w:i/>
          <w:iCs/>
          <w:color w:val="000000"/>
        </w:rPr>
        <w:t>Nota Explicativa 3:</w:t>
      </w:r>
      <w:r>
        <w:rPr>
          <w:i/>
          <w:iCs/>
          <w:color w:val="000000"/>
        </w:rPr>
        <w:t xml:space="preserve"> É possível justificar as quantidades em função do consumo e provável utilização, devendo a estimativa ser obtida a partir de fatos concretos como, por exemplo, a série histórica do consumo, atendo-se a eventual ocorrência vindoura capaz de impactar o quantitativo demandado, criação de órgão, acréscimo de atividades, necessidade de substituição de bens atualmente disponíveis, etc.</w:t>
      </w:r>
    </w:p>
    <w:p w14:paraId="5D764FF9" w14:textId="77777777" w:rsidR="002F1C13" w:rsidRDefault="00000000">
      <w:pPr>
        <w:pStyle w:val="Textodecomentrio"/>
      </w:pPr>
      <w:r>
        <w:rPr>
          <w:b/>
          <w:bCs/>
          <w:i/>
          <w:iCs/>
          <w:color w:val="000000"/>
        </w:rPr>
        <w:t>Nota Explicativa 4:</w:t>
      </w:r>
      <w:r>
        <w:rPr>
          <w:i/>
          <w:iCs/>
          <w:color w:val="000000"/>
        </w:rPr>
        <w:t xml:space="preserve"> Poderá ser utilizado o histórico dos quantitativos de aquisições anteriores. Contudo, deverá ser realizada uma análise da contratação anterior, ou série histórica (se houver), para identificar as inconsistências no dimensionamento dos quantitativos.</w:t>
      </w:r>
    </w:p>
    <w:p w14:paraId="5958403F" w14:textId="77777777" w:rsidR="002F1C13" w:rsidRDefault="00000000">
      <w:pPr>
        <w:pStyle w:val="Textodecomentrio"/>
      </w:pPr>
      <w:r>
        <w:rPr>
          <w:b/>
          <w:bCs/>
          <w:i/>
          <w:iCs/>
          <w:color w:val="000000"/>
        </w:rPr>
        <w:t>Nota Explicativa 5:</w:t>
      </w:r>
      <w:r>
        <w:rPr>
          <w:i/>
          <w:iCs/>
          <w:color w:val="000000"/>
        </w:rPr>
        <w:t xml:space="preserve"> A redação é meramente exemplificativa.</w:t>
      </w:r>
    </w:p>
    <w:p w14:paraId="52286024" w14:textId="77777777" w:rsidR="002F1C13" w:rsidRDefault="00000000">
      <w:pPr>
        <w:pStyle w:val="Textodecomentrio"/>
      </w:pPr>
      <w:r>
        <w:rPr>
          <w:b/>
          <w:bCs/>
          <w:i/>
          <w:iCs/>
          <w:color w:val="FF0000"/>
        </w:rPr>
        <w:t>ESTE ITEM É DE PREENCHIMENTO OBRIGATÓRIO</w:t>
      </w:r>
      <w:r>
        <w:rPr>
          <w:i/>
          <w:iCs/>
          <w:color w:val="000000"/>
        </w:rPr>
        <w:t>.</w:t>
      </w:r>
    </w:p>
  </w:comment>
  <w:comment w:id="2" w:author="Karina Doninelli" w:date="2024-03-12T00:03:00Z" w:initials="KD">
    <w:p w14:paraId="4EF032D0" w14:textId="77777777" w:rsidR="002F1C13" w:rsidRDefault="00000000">
      <w:pPr>
        <w:pStyle w:val="Textodecomentrio"/>
      </w:pPr>
      <w:r>
        <w:rPr>
          <w:b/>
          <w:bCs/>
          <w:i/>
          <w:iCs/>
          <w:color w:val="000000"/>
        </w:rPr>
        <w:t xml:space="preserve">Nota Explicativa 1: </w:t>
      </w:r>
      <w:r>
        <w:rPr>
          <w:i/>
          <w:iCs/>
          <w:color w:val="000000"/>
        </w:rPr>
        <w:t>Informar a estimativa do valor da contratação, acompanhado dos preços unitários referenciais, das memórias de cálculo e dos documentos que lhe dão suporte, que poderão constar de anexo classificado, se a administração optar por preservar o seu sigilo até a conclusão da licitação. Pode-se tomar por base os valores praticados por fornecedores junto a outros órgãos, vendas em sites específicos, ou mediante consulta aos fornecedores.</w:t>
      </w:r>
    </w:p>
    <w:p w14:paraId="0F8F59BA" w14:textId="77777777" w:rsidR="002F1C13" w:rsidRDefault="00000000">
      <w:pPr>
        <w:pStyle w:val="Textodecomentrio"/>
      </w:pPr>
      <w:r>
        <w:rPr>
          <w:b/>
          <w:bCs/>
          <w:i/>
          <w:iCs/>
          <w:color w:val="000000"/>
        </w:rPr>
        <w:t xml:space="preserve">Nota Explicativa 2: </w:t>
      </w:r>
      <w:r>
        <w:rPr>
          <w:i/>
          <w:iCs/>
          <w:color w:val="000000"/>
        </w:rPr>
        <w:t>A pesquisa constante deste documento poderá ser breve, estimativa e referencial.</w:t>
      </w:r>
    </w:p>
    <w:p w14:paraId="781D5064" w14:textId="77777777" w:rsidR="002F1C13" w:rsidRDefault="00000000">
      <w:pPr>
        <w:pStyle w:val="Textodecomentrio"/>
      </w:pPr>
      <w:r>
        <w:rPr>
          <w:b/>
          <w:bCs/>
          <w:i/>
          <w:iCs/>
          <w:color w:val="FF0000"/>
        </w:rPr>
        <w:t>ESTE ITEM É DE PREENCHIMENTO OBRIGATÓRIO</w:t>
      </w:r>
      <w:r>
        <w:rPr>
          <w:i/>
          <w:iCs/>
          <w:color w:val="000000"/>
        </w:rPr>
        <w:t>.</w:t>
      </w:r>
    </w:p>
  </w:comment>
  <w:comment w:id="3" w:author="Karina Doninelli" w:date="2024-03-12T00:05:00Z" w:initials="KD">
    <w:p w14:paraId="7C414EB9" w14:textId="77777777" w:rsidR="002F1C13" w:rsidRDefault="00000000">
      <w:pPr>
        <w:pStyle w:val="Textodecomentrio"/>
      </w:pPr>
      <w:r>
        <w:rPr>
          <w:b/>
          <w:bCs/>
          <w:i/>
          <w:iCs/>
          <w:color w:val="000000"/>
        </w:rPr>
        <w:t xml:space="preserve">Nota Explicativa: </w:t>
      </w:r>
      <w:r>
        <w:rPr>
          <w:i/>
          <w:iCs/>
          <w:color w:val="000000"/>
        </w:rPr>
        <w:t>O parcelamento da solução é a regra, devendo a licitação ser realizada por item sempre que o objeto for divisível, desde que se verifique não haver prejuízo para o conjunto da solução ou a perda de economia de escala, visando propiciar a ampla participação de licitantes.</w:t>
      </w:r>
      <w:r>
        <w:rPr>
          <w:b/>
          <w:bCs/>
          <w:i/>
          <w:iCs/>
          <w:color w:val="000000"/>
        </w:rPr>
        <w:t xml:space="preserve"> </w:t>
      </w:r>
      <w:r>
        <w:rPr>
          <w:i/>
          <w:iCs/>
          <w:color w:val="000000"/>
        </w:rPr>
        <w:t>Deve-se indicar se a aquisição deverá ser realizada em grupo. Os itens a serem adquiridos por grupo devem ter as mesmas características; serem fornecidos pelo mesmo fornecedor e justificar a falta de um item do grupo pode comprometer a execução das atividades.</w:t>
      </w:r>
    </w:p>
    <w:p w14:paraId="32494F87" w14:textId="77777777" w:rsidR="002F1C13" w:rsidRDefault="00000000">
      <w:pPr>
        <w:pStyle w:val="Textodecomentrio"/>
      </w:pPr>
      <w:r>
        <w:rPr>
          <w:b/>
          <w:bCs/>
          <w:i/>
          <w:iCs/>
          <w:color w:val="FF0000"/>
        </w:rPr>
        <w:t>ESTE ITEM É DE PREENCHIMENTO OBRIGATÓRIO</w:t>
      </w:r>
      <w:r>
        <w:rPr>
          <w:i/>
          <w:iCs/>
          <w:color w:val="000000"/>
        </w:rPr>
        <w:t>.</w:t>
      </w:r>
    </w:p>
  </w:comment>
  <w:comment w:id="4" w:author="Karina Doninelli" w:date="2024-03-12T00:12:00Z" w:initials="KD">
    <w:p w14:paraId="340E63B5" w14:textId="77777777" w:rsidR="002F1C13" w:rsidRDefault="00000000">
      <w:pPr>
        <w:pStyle w:val="Textodecomentrio"/>
      </w:pPr>
      <w:r>
        <w:rPr>
          <w:b/>
          <w:bCs/>
          <w:i/>
          <w:iCs/>
          <w:color w:val="000000"/>
        </w:rPr>
        <w:t xml:space="preserve">Nota Explicativa 1: </w:t>
      </w:r>
      <w:r>
        <w:rPr>
          <w:i/>
          <w:iCs/>
          <w:color w:val="000000"/>
        </w:rPr>
        <w:t>Apresentar posicionamento conclusivo quanto à razoabilidade e à viabilidade técnica, socioeconômica e ambiental da aquisição, justificando com base nos elementos colhidos durante o ETP - Estudo Técnico Preliminar.</w:t>
      </w:r>
    </w:p>
    <w:p w14:paraId="63E80018" w14:textId="77777777" w:rsidR="002F1C13" w:rsidRDefault="00000000">
      <w:pPr>
        <w:pStyle w:val="Textodecomentrio"/>
      </w:pPr>
      <w:r>
        <w:rPr>
          <w:b/>
          <w:bCs/>
          <w:i/>
          <w:iCs/>
          <w:color w:val="000000"/>
        </w:rPr>
        <w:t xml:space="preserve">Nota Explicativa 2: </w:t>
      </w:r>
      <w:r>
        <w:rPr>
          <w:i/>
          <w:iCs/>
          <w:color w:val="000000"/>
        </w:rPr>
        <w:t>A redação é meramente exemplificativa.</w:t>
      </w:r>
    </w:p>
    <w:p w14:paraId="1E36231F" w14:textId="77777777" w:rsidR="002F1C13" w:rsidRDefault="00000000">
      <w:pPr>
        <w:pStyle w:val="Textodecomentrio"/>
      </w:pPr>
      <w:r>
        <w:rPr>
          <w:b/>
          <w:bCs/>
          <w:i/>
          <w:iCs/>
          <w:color w:val="FF0000"/>
        </w:rPr>
        <w:t>ESTE ITEM É DE PREENCHIMENTO OBRIGATÓRIO</w:t>
      </w:r>
      <w:r>
        <w:rPr>
          <w:i/>
          <w:iCs/>
          <w:color w:val="000000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A831208" w15:done="0"/>
  <w15:commentEx w15:paraId="52286024" w15:done="0"/>
  <w15:commentEx w15:paraId="781D5064" w15:done="0"/>
  <w15:commentEx w15:paraId="32494F87" w15:done="0"/>
  <w15:commentEx w15:paraId="1E3623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A831208" w16cid:durableId="6E26510C"/>
  <w16cid:commentId w16cid:paraId="52286024" w16cid:durableId="3C9C6A20"/>
  <w16cid:commentId w16cid:paraId="781D5064" w16cid:durableId="4BFACEF4"/>
  <w16cid:commentId w16cid:paraId="32494F87" w16cid:durableId="02AF01D0"/>
  <w16cid:commentId w16cid:paraId="1E36231F" w16cid:durableId="0602B5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0EF3F" w14:textId="77777777" w:rsidR="00F13663" w:rsidRDefault="00F13663">
      <w:pPr>
        <w:spacing w:line="240" w:lineRule="auto"/>
      </w:pPr>
      <w:r>
        <w:separator/>
      </w:r>
    </w:p>
  </w:endnote>
  <w:endnote w:type="continuationSeparator" w:id="0">
    <w:p w14:paraId="2DC89787" w14:textId="77777777" w:rsidR="00F13663" w:rsidRDefault="00F13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_Spranq_eco_Sans">
    <w:altName w:val="Trebuchet MS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5EE0A" w14:textId="77777777" w:rsidR="002F1C13" w:rsidRDefault="00000000">
    <w:pPr>
      <w:tabs>
        <w:tab w:val="left" w:pos="1843"/>
      </w:tabs>
      <w:jc w:val="center"/>
    </w:pPr>
    <w:r>
      <w:tab/>
    </w:r>
    <w:r>
      <w:rPr>
        <w:rFonts w:ascii="Verdana" w:hAnsi="Verdana"/>
        <w:b/>
        <w:bCs/>
        <w:sz w:val="15"/>
        <w:szCs w:val="15"/>
      </w:rPr>
      <w:pict w14:anchorId="44DC6804">
        <v:rect id="_x0000_i1025" style="width:.05pt;height:1.5pt" o:hralign="center" o:hrstd="t" o:hr="t" fillcolor="#a0a0a0" stroked="f"/>
      </w:pict>
    </w:r>
  </w:p>
  <w:p w14:paraId="52580198" w14:textId="77777777" w:rsidR="002F1C13" w:rsidRDefault="002F1C13">
    <w:pPr>
      <w:pStyle w:val="Rodap"/>
      <w:tabs>
        <w:tab w:val="clear" w:pos="4252"/>
        <w:tab w:val="clear" w:pos="8504"/>
        <w:tab w:val="left" w:pos="8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35C77" w14:textId="77777777" w:rsidR="00F13663" w:rsidRDefault="00F13663">
      <w:pPr>
        <w:spacing w:after="0"/>
      </w:pPr>
      <w:r>
        <w:separator/>
      </w:r>
    </w:p>
  </w:footnote>
  <w:footnote w:type="continuationSeparator" w:id="0">
    <w:p w14:paraId="64E15430" w14:textId="77777777" w:rsidR="00F13663" w:rsidRDefault="00F136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59879" w14:textId="77777777" w:rsidR="002F1C13" w:rsidRDefault="00000000">
    <w:pPr>
      <w:pStyle w:val="Cabealho"/>
    </w:pPr>
    <w:r>
      <w:pict w14:anchorId="2E9721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176094" o:spid="_x0000_s1027" type="#_x0000_t136" style="position:absolute;margin-left:0;margin-top:0;width:419.6pt;height:179.8pt;rotation:315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Calibri&quot;;font-size:1pt" fitpath="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677D7" w14:textId="77777777" w:rsidR="002F1C13" w:rsidRDefault="00000000">
    <w:pPr>
      <w:contextualSpacing/>
      <w:jc w:val="center"/>
      <w:rPr>
        <w:rFonts w:ascii="Arial" w:hAnsi="Arial" w:cs="Arial"/>
        <w:b/>
        <w:bCs/>
      </w:rPr>
    </w:pPr>
    <w:r>
      <w:rPr>
        <w:b/>
        <w:bCs/>
        <w:highlight w:val="cyan"/>
      </w:rPr>
      <w:pict w14:anchorId="6AE06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176095" o:spid="_x0000_s1028" type="#_x0000_t136" style="position:absolute;left:0;text-align:left;margin-left:0;margin-top:0;width:419.6pt;height:179.8pt;rotation:315;z-index:-25165516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Calibri&quot;;font-size:1pt" fitpath="t" string="MODELO"/>
          <w10:wrap anchorx="margin" anchory="margin"/>
        </v:shape>
      </w:pict>
    </w:r>
    <w:r>
      <w:rPr>
        <w:rFonts w:ascii="Arial" w:hAnsi="Arial" w:cs="Arial"/>
        <w:b/>
        <w:bCs/>
        <w:highlight w:val="cyan"/>
      </w:rPr>
      <w:t>FOLHA TIMBRADA</w:t>
    </w:r>
  </w:p>
  <w:p w14:paraId="0491DAFE" w14:textId="77777777" w:rsidR="002F1C13" w:rsidRDefault="002F1C13">
    <w:pPr>
      <w:contextualSpacing/>
      <w:jc w:val="center"/>
      <w:rPr>
        <w:rFonts w:ascii="Arial" w:hAnsi="Arial" w:cs="Arial"/>
        <w:b/>
      </w:rPr>
    </w:pPr>
  </w:p>
  <w:p w14:paraId="6A8AEB2F" w14:textId="77777777" w:rsidR="002F1C13" w:rsidRDefault="002F1C1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CE943" w14:textId="77777777" w:rsidR="002F1C13" w:rsidRDefault="00000000">
    <w:pPr>
      <w:pStyle w:val="Cabealho"/>
    </w:pPr>
    <w:r>
      <w:pict w14:anchorId="190DB6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176093" o:spid="_x0000_s1026" type="#_x0000_t136" style="position:absolute;margin-left:0;margin-top:0;width:419.6pt;height:179.8pt;rotation:315;z-index:-25165721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Calibri&quot;;font-size:1pt" fitpath="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C100D"/>
    <w:multiLevelType w:val="multilevel"/>
    <w:tmpl w:val="1D5C100D"/>
    <w:lvl w:ilvl="0">
      <w:start w:val="1"/>
      <w:numFmt w:val="decimal"/>
      <w:pStyle w:val="Nive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43637B9"/>
    <w:multiLevelType w:val="multilevel"/>
    <w:tmpl w:val="643637B9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85155536">
    <w:abstractNumId w:val="0"/>
  </w:num>
  <w:num w:numId="2" w16cid:durableId="26897075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rina Doninelli">
    <w15:presenceInfo w15:providerId="Windows Live" w15:userId="9965f1d7004f0b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CE4"/>
    <w:rsid w:val="00031CF7"/>
    <w:rsid w:val="00046C66"/>
    <w:rsid w:val="00055889"/>
    <w:rsid w:val="000611D5"/>
    <w:rsid w:val="001C142A"/>
    <w:rsid w:val="001E6F99"/>
    <w:rsid w:val="001F5A78"/>
    <w:rsid w:val="00220387"/>
    <w:rsid w:val="002305FD"/>
    <w:rsid w:val="0023068A"/>
    <w:rsid w:val="00277575"/>
    <w:rsid w:val="00295E0C"/>
    <w:rsid w:val="002C4622"/>
    <w:rsid w:val="002E47A0"/>
    <w:rsid w:val="002F1C13"/>
    <w:rsid w:val="002F4ECF"/>
    <w:rsid w:val="00327314"/>
    <w:rsid w:val="00417C52"/>
    <w:rsid w:val="00493EE3"/>
    <w:rsid w:val="004B5A36"/>
    <w:rsid w:val="004C1CE4"/>
    <w:rsid w:val="004D554A"/>
    <w:rsid w:val="00501093"/>
    <w:rsid w:val="0050137D"/>
    <w:rsid w:val="0054573C"/>
    <w:rsid w:val="005D0658"/>
    <w:rsid w:val="005D3B65"/>
    <w:rsid w:val="005F662C"/>
    <w:rsid w:val="00603E3E"/>
    <w:rsid w:val="00613FCC"/>
    <w:rsid w:val="00675FC1"/>
    <w:rsid w:val="00680579"/>
    <w:rsid w:val="006811AC"/>
    <w:rsid w:val="006A7614"/>
    <w:rsid w:val="006E2427"/>
    <w:rsid w:val="006E611E"/>
    <w:rsid w:val="006F6550"/>
    <w:rsid w:val="00707132"/>
    <w:rsid w:val="0079796F"/>
    <w:rsid w:val="007C6055"/>
    <w:rsid w:val="008617A9"/>
    <w:rsid w:val="00897681"/>
    <w:rsid w:val="008A612F"/>
    <w:rsid w:val="008D7F23"/>
    <w:rsid w:val="008E20F7"/>
    <w:rsid w:val="009335D6"/>
    <w:rsid w:val="009A2342"/>
    <w:rsid w:val="009B609D"/>
    <w:rsid w:val="00A87E03"/>
    <w:rsid w:val="00AB7DE9"/>
    <w:rsid w:val="00B26629"/>
    <w:rsid w:val="00B93516"/>
    <w:rsid w:val="00BC3254"/>
    <w:rsid w:val="00C3174E"/>
    <w:rsid w:val="00CA252F"/>
    <w:rsid w:val="00CC13EC"/>
    <w:rsid w:val="00CE64BE"/>
    <w:rsid w:val="00D17C4C"/>
    <w:rsid w:val="00D21568"/>
    <w:rsid w:val="00DB79D5"/>
    <w:rsid w:val="00E24F43"/>
    <w:rsid w:val="00E60D52"/>
    <w:rsid w:val="00F027AA"/>
    <w:rsid w:val="00F06FC7"/>
    <w:rsid w:val="00F13663"/>
    <w:rsid w:val="00F6108E"/>
    <w:rsid w:val="00FE00E2"/>
    <w:rsid w:val="13DA3E99"/>
    <w:rsid w:val="63343AB1"/>
    <w:rsid w:val="7AA0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20C97"/>
  <w15:docId w15:val="{41626324-9832-42EE-BC7A-787EAFAF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val="zh-CN" w:eastAsia="pt-BR"/>
      <w14:ligatures w14:val="none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val="zh-CN"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uiPriority w:val="99"/>
    <w:semiHidden/>
    <w:unhideWhenUsed/>
    <w:qFormat/>
    <w:rPr>
      <w:color w:val="954F72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uiPriority w:val="99"/>
    <w:unhideWhenUsed/>
    <w:qFormat/>
    <w:rPr>
      <w:rFonts w:ascii="Verdana" w:hAnsi="Verdana" w:cs="Times New Roman"/>
      <w:color w:val="4C4A45"/>
      <w:u w:val="none"/>
    </w:rPr>
  </w:style>
  <w:style w:type="paragraph" w:styleId="Lista">
    <w:name w:val="List"/>
    <w:basedOn w:val="Textbody"/>
    <w:qFormat/>
    <w:rPr>
      <w:rFonts w:cs="Mangal"/>
    </w:rPr>
  </w:style>
  <w:style w:type="paragraph" w:customStyle="1" w:styleId="Textbody">
    <w:name w:val="Text body"/>
    <w:basedOn w:val="Normal"/>
    <w:qFormat/>
    <w:pPr>
      <w:suppressAutoHyphens/>
      <w:autoSpaceDN w:val="0"/>
      <w:spacing w:after="140" w:line="276" w:lineRule="auto"/>
      <w:ind w:left="10" w:right="16" w:hanging="10"/>
      <w:jc w:val="both"/>
      <w:textAlignment w:val="baseline"/>
    </w:pPr>
    <w:rPr>
      <w:rFonts w:ascii="Liberation Serif" w:eastAsia="Liberation Serif" w:hAnsi="Liberation Serif" w:cs="Liberation Serif"/>
      <w:color w:val="000000"/>
      <w:kern w:val="0"/>
      <w:sz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Times New Roman"/>
      <w:kern w:val="0"/>
      <w:sz w:val="16"/>
      <w:szCs w:val="16"/>
      <w:lang w:val="pt-PT"/>
      <w14:ligatures w14:val="non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link w:val="TtuloChar"/>
    <w:uiPriority w:val="10"/>
    <w:qFormat/>
    <w:pPr>
      <w:widowControl w:val="0"/>
      <w:autoSpaceDE w:val="0"/>
      <w:autoSpaceDN w:val="0"/>
      <w:spacing w:before="103" w:after="0" w:line="240" w:lineRule="auto"/>
      <w:ind w:left="3532" w:right="886" w:hanging="2209"/>
    </w:pPr>
    <w:rPr>
      <w:rFonts w:ascii="Arial" w:eastAsia="Arial" w:hAnsi="Arial" w:cs="Times New Roman"/>
      <w:b/>
      <w:bCs/>
      <w:kern w:val="0"/>
      <w:sz w:val="28"/>
      <w:szCs w:val="28"/>
      <w:lang w:val="pt-PT"/>
      <w14:ligatures w14:val="none"/>
    </w:rPr>
  </w:style>
  <w:style w:type="paragraph" w:styleId="NormalWeb">
    <w:name w:val="Normal (Web)"/>
    <w:qFormat/>
    <w:pPr>
      <w:spacing w:beforeAutospacing="1" w:afterAutospacing="1"/>
    </w:pPr>
    <w:rPr>
      <w:rFonts w:ascii="Calibri" w:eastAsia="Calibri" w:hAnsi="Calibri" w:cs="Times New Roman"/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zh-CN"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zh-CN"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eastAsia="Times New Roman" w:hAnsi="Segoe UI" w:cs="Times New Roman"/>
      <w:kern w:val="0"/>
      <w:sz w:val="18"/>
      <w:szCs w:val="18"/>
      <w:lang w:val="zh-CN"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table" w:styleId="Tabelacomgrade">
    <w:name w:val="Table Grid"/>
    <w:basedOn w:val="Tabelanormal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dyuqq">
    <w:name w:val="wdyuqq"/>
    <w:basedOn w:val="Fontepargpadro"/>
    <w:qFormat/>
  </w:style>
  <w:style w:type="paragraph" w:customStyle="1" w:styleId="04xlpa">
    <w:name w:val="_04xlpa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qFormat/>
    <w:pPr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11">
    <w:name w:val="N 1.1"/>
    <w:basedOn w:val="Normal"/>
    <w:link w:val="N11Char"/>
    <w:qFormat/>
    <w:pPr>
      <w:spacing w:before="240" w:after="240" w:line="240" w:lineRule="auto"/>
      <w:jc w:val="both"/>
    </w:pPr>
    <w:rPr>
      <w:rFonts w:ascii="Arial" w:eastAsia="Calibri" w:hAnsi="Arial" w:cs="Times New Roman"/>
      <w:kern w:val="0"/>
      <w:sz w:val="24"/>
      <w14:ligatures w14:val="none"/>
    </w:rPr>
  </w:style>
  <w:style w:type="character" w:customStyle="1" w:styleId="N11Char">
    <w:name w:val="N 1.1 Char"/>
    <w:link w:val="N11"/>
    <w:qFormat/>
    <w:rPr>
      <w:rFonts w:ascii="Arial" w:eastAsia="Calibri" w:hAnsi="Arial" w:cs="Times New Roman"/>
      <w:kern w:val="0"/>
      <w:sz w:val="24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zh-CN" w:eastAsia="pt-BR"/>
      <w14:ligatures w14:val="none"/>
    </w:rPr>
  </w:style>
  <w:style w:type="character" w:customStyle="1" w:styleId="Ttulo2Char">
    <w:name w:val="Título 2 Char"/>
    <w:basedOn w:val="Fontepargpadro"/>
    <w:link w:val="Ttulo2"/>
    <w:qFormat/>
    <w:rPr>
      <w:rFonts w:ascii="Cambria" w:eastAsia="Times New Roman" w:hAnsi="Cambria" w:cs="Times New Roman"/>
      <w:b/>
      <w:bCs/>
      <w:i/>
      <w:iCs/>
      <w:kern w:val="0"/>
      <w:sz w:val="28"/>
      <w:szCs w:val="28"/>
      <w:lang w:val="zh-CN" w:eastAsia="zh-CN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kern w:val="0"/>
      <w:sz w:val="24"/>
      <w:szCs w:val="24"/>
      <w:lang w:val="zh-CN" w:eastAsia="pt-BR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kern w:val="0"/>
      <w:sz w:val="24"/>
      <w:szCs w:val="24"/>
      <w:lang w:val="zh-CN" w:eastAsia="pt-BR"/>
      <w14:ligatures w14:val="none"/>
    </w:rPr>
  </w:style>
  <w:style w:type="paragraph" w:customStyle="1" w:styleId="Anexo-Subttulo">
    <w:name w:val="Anexo - Subtítulo"/>
    <w:basedOn w:val="Normal"/>
    <w:uiPriority w:val="99"/>
    <w:qFormat/>
    <w:pPr>
      <w:spacing w:before="120" w:after="48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9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imes New Roman"/>
      <w:i/>
      <w:iCs/>
      <w:color w:val="000000"/>
      <w:kern w:val="0"/>
      <w:sz w:val="20"/>
      <w:szCs w:val="24"/>
      <w:lang w:val="zh-CN" w:eastAsia="zh-CN"/>
      <w14:ligatures w14:val="none"/>
    </w:rPr>
  </w:style>
  <w:style w:type="character" w:customStyle="1" w:styleId="CitaoChar">
    <w:name w:val="Citação Char"/>
    <w:basedOn w:val="Fontepargpadro"/>
    <w:link w:val="Citao"/>
    <w:uiPriority w:val="99"/>
    <w:qFormat/>
    <w:rPr>
      <w:rFonts w:ascii="Arial" w:eastAsia="Calibri" w:hAnsi="Arial" w:cs="Times New Roman"/>
      <w:i/>
      <w:iCs/>
      <w:color w:val="000000"/>
      <w:kern w:val="0"/>
      <w:sz w:val="20"/>
      <w:szCs w:val="24"/>
      <w:shd w:val="clear" w:color="auto" w:fill="FFFFCC"/>
      <w:lang w:val="zh-CN" w:eastAsia="zh-CN"/>
      <w14:ligatures w14:val="none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imes New Roman"/>
      <w:i/>
      <w:iCs/>
      <w:color w:val="000000"/>
      <w:kern w:val="0"/>
      <w:sz w:val="20"/>
      <w:szCs w:val="24"/>
      <w:lang w:val="zh-CN" w:eastAsia="zh-CN"/>
      <w14:ligatures w14:val="none"/>
    </w:rPr>
  </w:style>
  <w:style w:type="character" w:customStyle="1" w:styleId="GradeColorida-nfase1Char">
    <w:name w:val="Grade Colorida - Ênfase 1 Char"/>
    <w:link w:val="GradeColorida-nfase11"/>
    <w:uiPriority w:val="29"/>
    <w:qFormat/>
    <w:rPr>
      <w:rFonts w:ascii="Arial" w:eastAsia="Calibri" w:hAnsi="Arial" w:cs="Times New Roman"/>
      <w:i/>
      <w:iCs/>
      <w:color w:val="000000"/>
      <w:kern w:val="0"/>
      <w:sz w:val="20"/>
      <w:szCs w:val="24"/>
      <w:shd w:val="clear" w:color="auto" w:fill="FFFFCC"/>
      <w:lang w:val="zh-CN" w:eastAsia="zh-CN"/>
      <w14:ligatures w14:val="none"/>
    </w:rPr>
  </w:style>
  <w:style w:type="paragraph" w:customStyle="1" w:styleId="Nivel1">
    <w:name w:val="Nivel1"/>
    <w:basedOn w:val="Ttulo1"/>
    <w:next w:val="Normal"/>
    <w:link w:val="Nivel1Char"/>
    <w:qFormat/>
    <w:pPr>
      <w:numPr>
        <w:numId w:val="1"/>
      </w:numPr>
      <w:spacing w:after="120" w:line="276" w:lineRule="auto"/>
      <w:ind w:left="357" w:hanging="357"/>
      <w:jc w:val="both"/>
    </w:pPr>
    <w:rPr>
      <w:rFonts w:ascii="Arial" w:hAnsi="Arial"/>
      <w:color w:val="000000"/>
    </w:rPr>
  </w:style>
  <w:style w:type="character" w:customStyle="1" w:styleId="Nivel1Char">
    <w:name w:val="Nivel1 Char"/>
    <w:link w:val="Nivel1"/>
    <w:qFormat/>
    <w:rPr>
      <w:rFonts w:ascii="Arial" w:eastAsia="Times New Roman" w:hAnsi="Arial" w:cs="Times New Roman"/>
      <w:b/>
      <w:bCs/>
      <w:color w:val="000000"/>
      <w:kern w:val="0"/>
      <w:sz w:val="28"/>
      <w:szCs w:val="28"/>
      <w:lang w:val="zh-CN" w:eastAsia="pt-BR"/>
      <w14:ligatures w14:val="none"/>
    </w:rPr>
  </w:style>
  <w:style w:type="character" w:customStyle="1" w:styleId="normalchar1">
    <w:name w:val="normal__char1"/>
    <w:qFormat/>
    <w:rPr>
      <w:rFonts w:ascii="Arial" w:hAnsi="Arial" w:cs="Arial" w:hint="default"/>
      <w:sz w:val="24"/>
      <w:szCs w:val="24"/>
      <w:u w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Times New Roman"/>
      <w:kern w:val="0"/>
      <w:sz w:val="18"/>
      <w:szCs w:val="18"/>
      <w:lang w:val="zh-CN" w:eastAsia="pt-BR"/>
      <w14:ligatures w14:val="none"/>
    </w:rPr>
  </w:style>
  <w:style w:type="character" w:customStyle="1" w:styleId="apple-converted-space">
    <w:name w:val="apple-converted-space"/>
    <w:basedOn w:val="Fontepargpadro"/>
    <w:qFormat/>
  </w:style>
  <w:style w:type="paragraph" w:customStyle="1" w:styleId="N111">
    <w:name w:val="N 1.1.1"/>
    <w:basedOn w:val="N11"/>
    <w:uiPriority w:val="99"/>
    <w:qFormat/>
    <w:pPr>
      <w:ind w:left="567" w:hanging="180"/>
    </w:pPr>
    <w:rPr>
      <w:lang w:val="zh-CN"/>
    </w:rPr>
  </w:style>
  <w:style w:type="paragraph" w:customStyle="1" w:styleId="N1111">
    <w:name w:val="N 1.1.1.1"/>
    <w:basedOn w:val="N111"/>
    <w:uiPriority w:val="99"/>
    <w:qFormat/>
    <w:pPr>
      <w:ind w:left="2880" w:hanging="360"/>
    </w:pPr>
  </w:style>
  <w:style w:type="paragraph" w:customStyle="1" w:styleId="Nabc">
    <w:name w:val="N abc"/>
    <w:basedOn w:val="Normal"/>
    <w:uiPriority w:val="99"/>
    <w:qFormat/>
    <w:pPr>
      <w:spacing w:before="240" w:after="240" w:line="240" w:lineRule="auto"/>
      <w:jc w:val="both"/>
    </w:pPr>
    <w:rPr>
      <w:rFonts w:ascii="Arial" w:eastAsia="Calibri" w:hAnsi="Arial" w:cs="Times New Roman"/>
      <w:kern w:val="0"/>
      <w:sz w:val="24"/>
      <w:lang w:val="it-IT"/>
      <w14:ligatures w14:val="none"/>
    </w:rPr>
  </w:style>
  <w:style w:type="character" w:customStyle="1" w:styleId="PargrafodaListaChar">
    <w:name w:val="Parágrafo da Lista Char"/>
    <w:link w:val="PargrafodaLista1"/>
    <w:uiPriority w:val="1"/>
    <w:qFormat/>
    <w:rPr>
      <w:rFonts w:ascii="Ecofont_Spranq_eco_Sans" w:hAnsi="Ecofont_Spranq_eco_Sans" w:cs="Tahoma"/>
      <w:sz w:val="24"/>
      <w:szCs w:val="24"/>
    </w:rPr>
  </w:style>
  <w:style w:type="paragraph" w:customStyle="1" w:styleId="PargrafodaLista1">
    <w:name w:val="Parágrafo da Lista1"/>
    <w:basedOn w:val="Normal"/>
    <w:link w:val="PargrafodaListaChar"/>
    <w:uiPriority w:val="1"/>
    <w:qFormat/>
    <w:pPr>
      <w:spacing w:after="0" w:line="240" w:lineRule="auto"/>
      <w:ind w:left="720"/>
      <w:contextualSpacing/>
    </w:pPr>
    <w:rPr>
      <w:rFonts w:ascii="Ecofont_Spranq_eco_Sans" w:hAnsi="Ecofont_Spranq_eco_Sans" w:cs="Tahoma"/>
      <w:sz w:val="24"/>
      <w:szCs w:val="24"/>
    </w:rPr>
  </w:style>
  <w:style w:type="paragraph" w:customStyle="1" w:styleId="xmsonormal">
    <w:name w:val="x_msonormal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itao1">
    <w:name w:val="Citação1"/>
    <w:basedOn w:val="Normal"/>
    <w:next w:val="Normal"/>
    <w:link w:val="QuoteChar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Times New Roman" w:hAnsi="Ecofont_Spranq_eco_Sans" w:cs="Times New Roman"/>
      <w:i/>
      <w:iCs/>
      <w:color w:val="000000"/>
      <w:kern w:val="0"/>
      <w:sz w:val="24"/>
      <w:szCs w:val="24"/>
      <w:shd w:val="clear" w:color="auto" w:fill="FFFFCC"/>
      <w:lang w:val="zh-CN"/>
      <w14:ligatures w14:val="none"/>
    </w:rPr>
  </w:style>
  <w:style w:type="character" w:customStyle="1" w:styleId="QuoteChar">
    <w:name w:val="Quote Char"/>
    <w:link w:val="Citao1"/>
    <w:qFormat/>
    <w:rPr>
      <w:rFonts w:ascii="Ecofont_Spranq_eco_Sans" w:eastAsia="Times New Roman" w:hAnsi="Ecofont_Spranq_eco_Sans" w:cs="Times New Roman"/>
      <w:i/>
      <w:iCs/>
      <w:color w:val="000000"/>
      <w:kern w:val="0"/>
      <w:sz w:val="24"/>
      <w:szCs w:val="24"/>
      <w:shd w:val="clear" w:color="auto" w:fill="FFFFCC"/>
      <w:lang w:val="zh-CN"/>
      <w14:ligatures w14:val="none"/>
    </w:rPr>
  </w:style>
  <w:style w:type="table" w:customStyle="1" w:styleId="TableGrid">
    <w:name w:val="TableGrid"/>
    <w:qFormat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1">
    <w:name w:val="Título 1 Char1"/>
    <w:uiPriority w:val="9"/>
    <w:qFormat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msonormal0">
    <w:name w:val="msonormal"/>
    <w:basedOn w:val="Normal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="Arial" w:eastAsia="Arial" w:hAnsi="Arial" w:cs="Times New Roman"/>
      <w:b/>
      <w:bCs/>
      <w:kern w:val="0"/>
      <w:sz w:val="28"/>
      <w:szCs w:val="28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qFormat/>
    <w:rPr>
      <w:rFonts w:ascii="Arial MT" w:eastAsia="Arial MT" w:hAnsi="Arial MT" w:cs="Times New Roman"/>
      <w:kern w:val="0"/>
      <w:sz w:val="16"/>
      <w:szCs w:val="16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semiHidden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sz w:val="20"/>
      <w:szCs w:val="20"/>
    </w:rPr>
  </w:style>
  <w:style w:type="character" w:customStyle="1" w:styleId="label">
    <w:name w:val="label"/>
    <w:basedOn w:val="Fontepargpadro"/>
    <w:qFormat/>
  </w:style>
  <w:style w:type="paragraph" w:customStyle="1" w:styleId="Nivel01">
    <w:name w:val="Nivel 01"/>
    <w:basedOn w:val="Ttulo1"/>
    <w:next w:val="Normal"/>
    <w:qFormat/>
    <w:pPr>
      <w:tabs>
        <w:tab w:val="left" w:pos="567"/>
      </w:tabs>
      <w:spacing w:before="120" w:after="240" w:line="259" w:lineRule="auto"/>
      <w:jc w:val="both"/>
    </w:pPr>
    <w:rPr>
      <w:rFonts w:ascii="Calibri" w:eastAsiaTheme="majorEastAsia" w:hAnsi="Calibri" w:cs="Arial"/>
      <w:color w:val="auto"/>
      <w:sz w:val="20"/>
      <w:szCs w:val="20"/>
      <w:lang w:val="pt-BR"/>
    </w:rPr>
  </w:style>
  <w:style w:type="paragraph" w:customStyle="1" w:styleId="Nivel2">
    <w:name w:val="Nivel 2"/>
    <w:basedOn w:val="Normal"/>
    <w:link w:val="Nivel2Char"/>
    <w:qFormat/>
    <w:pPr>
      <w:spacing w:before="120" w:after="240"/>
      <w:jc w:val="both"/>
    </w:pPr>
    <w:rPr>
      <w:rFonts w:ascii="Calibri" w:eastAsiaTheme="minorEastAsia" w:hAnsi="Calibri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3">
    <w:name w:val="Nivel 3"/>
    <w:basedOn w:val="Normal"/>
    <w:qFormat/>
    <w:pPr>
      <w:spacing w:before="120" w:after="240"/>
      <w:ind w:left="425" w:firstLine="567"/>
      <w:contextualSpacing/>
      <w:jc w:val="both"/>
    </w:pPr>
    <w:rPr>
      <w:rFonts w:ascii="Calibri" w:eastAsiaTheme="minorEastAsia" w:hAnsi="Calibri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4">
    <w:name w:val="Nivel 4"/>
    <w:basedOn w:val="Nivel3"/>
    <w:qFormat/>
    <w:p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pPr>
      <w:ind w:left="1276"/>
    </w:pPr>
  </w:style>
  <w:style w:type="character" w:customStyle="1" w:styleId="Nivel2Char">
    <w:name w:val="Nivel 2 Char"/>
    <w:basedOn w:val="Fontepargpadro"/>
    <w:link w:val="Nivel2"/>
    <w:qFormat/>
    <w:locked/>
    <w:rPr>
      <w:rFonts w:ascii="Calibri" w:eastAsiaTheme="minorEastAsia" w:hAnsi="Calibri" w:cs="Arial"/>
      <w:color w:val="000000"/>
    </w:rPr>
  </w:style>
  <w:style w:type="paragraph" w:customStyle="1" w:styleId="ou">
    <w:name w:val="ou"/>
    <w:basedOn w:val="PargrafodaLista"/>
    <w:link w:val="ouChar"/>
    <w:qFormat/>
    <w:pPr>
      <w:spacing w:before="60" w:after="60"/>
      <w:ind w:left="0"/>
      <w:contextualSpacing w:val="0"/>
      <w:jc w:val="center"/>
    </w:pPr>
    <w:rPr>
      <w:rFonts w:ascii="Calibri" w:hAnsi="Calibri" w:cs="Arial"/>
      <w:b/>
      <w:bCs/>
      <w:i/>
      <w:iCs/>
      <w:caps/>
      <w:color w:val="FF0000"/>
      <w:sz w:val="24"/>
      <w:szCs w:val="24"/>
      <w:u w:val="single"/>
      <w:lang w:eastAsia="pt-BR"/>
    </w:rPr>
  </w:style>
  <w:style w:type="character" w:customStyle="1" w:styleId="ouChar">
    <w:name w:val="ou Char"/>
    <w:basedOn w:val="PargrafodaListaChar"/>
    <w:link w:val="ou"/>
    <w:qFormat/>
    <w:rPr>
      <w:rFonts w:ascii="Calibri" w:hAnsi="Calibri" w:cs="Arial"/>
      <w:b/>
      <w:bCs/>
      <w:i/>
      <w:iCs/>
      <w:caps/>
      <w:color w:val="FF0000"/>
      <w:sz w:val="24"/>
      <w:szCs w:val="24"/>
      <w:u w:val="single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kern w:val="2"/>
      <w:lang w:eastAsia="en-US"/>
      <w14:ligatures w14:val="standardContextua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kern w:val="2"/>
      <w:lang w:eastAsia="en-US"/>
      <w14:ligatures w14:val="standardContextual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lanalto.gov.br/ccivil_03/_ato2019-2022/2021/lei/l14133.htm" TargetMode="External"/><Relationship Id="rId2" Type="http://schemas.openxmlformats.org/officeDocument/2006/relationships/hyperlink" Target="https://www.ibraop.org.br/wp-content/uploads/2022/02/Nota-Tecnica-IBR-001_2021_obra-comum-e-especial-final.pdf" TargetMode="External"/><Relationship Id="rId1" Type="http://schemas.openxmlformats.org/officeDocument/2006/relationships/hyperlink" Target="https://www.ibraop.org.br/wp-content/uploads/2022/02/Nota-Tecnica-IBR-001_2021_obra-comum-e-especial-final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19354C90-80D5-4D75-841C-EFB5146C42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Samela Cristina de Souza</dc:creator>
  <cp:lastModifiedBy>Karina Doninelli</cp:lastModifiedBy>
  <cp:revision>3</cp:revision>
  <cp:lastPrinted>2023-05-31T16:51:00Z</cp:lastPrinted>
  <dcterms:created xsi:type="dcterms:W3CDTF">2024-03-21T12:21:00Z</dcterms:created>
  <dcterms:modified xsi:type="dcterms:W3CDTF">2024-03-26T12:13:00Z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FAFF6A5DD4694B4CAAB3BF1FA3B51D4F_13</vt:lpwstr>
  </property>
</Properties>
</file>