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44" w:lineRule="auto"/>
        <w:ind w:right="4670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361950</wp:posOffset>
            </wp:positionH>
            <wp:positionV relativeFrom="paragraph">
              <wp:posOffset>34878</wp:posOffset>
            </wp:positionV>
            <wp:extent cx="838433" cy="83843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433" cy="838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75"/>
        </w:rPr>
        <w:t>MUNICÍPIO </w:t>
      </w:r>
      <w:r>
        <w:rPr>
          <w:w w:val="75"/>
        </w:rPr>
        <w:t>DE ROQUE GONZALES</w:t>
      </w:r>
      <w:r>
        <w:rPr>
          <w:spacing w:val="-47"/>
          <w:w w:val="75"/>
        </w:rPr>
        <w:t> </w:t>
      </w:r>
      <w:r>
        <w:rPr>
          <w:w w:val="75"/>
        </w:rPr>
        <w:t>PPA</w:t>
      </w:r>
      <w:r>
        <w:rPr>
          <w:spacing w:val="3"/>
          <w:w w:val="75"/>
        </w:rPr>
        <w:t> </w:t>
      </w:r>
      <w:r>
        <w:rPr>
          <w:w w:val="75"/>
        </w:rPr>
        <w:t>2026</w:t>
      </w:r>
      <w:r>
        <w:rPr>
          <w:spacing w:val="2"/>
          <w:w w:val="75"/>
        </w:rPr>
        <w:t> </w:t>
      </w:r>
      <w:r>
        <w:rPr>
          <w:w w:val="75"/>
        </w:rPr>
        <w:t>A</w:t>
      </w:r>
      <w:r>
        <w:rPr>
          <w:spacing w:val="3"/>
          <w:w w:val="75"/>
        </w:rPr>
        <w:t> </w:t>
      </w:r>
      <w:r>
        <w:rPr>
          <w:w w:val="75"/>
        </w:rPr>
        <w:t>2029</w:t>
      </w:r>
    </w:p>
    <w:p>
      <w:pPr>
        <w:pStyle w:val="Title"/>
        <w:spacing w:line="316" w:lineRule="exact"/>
      </w:pPr>
      <w:r>
        <w:rPr>
          <w:spacing w:val="-1"/>
          <w:w w:val="75"/>
        </w:rPr>
        <w:t>Tabela</w:t>
      </w:r>
      <w:r>
        <w:rPr>
          <w:spacing w:val="-4"/>
          <w:w w:val="75"/>
        </w:rPr>
        <w:t> </w:t>
      </w:r>
      <w:r>
        <w:rPr>
          <w:spacing w:val="-1"/>
          <w:w w:val="75"/>
        </w:rPr>
        <w:t>III</w:t>
      </w:r>
      <w:r>
        <w:rPr>
          <w:spacing w:val="1"/>
          <w:w w:val="75"/>
        </w:rPr>
        <w:t> </w:t>
      </w:r>
      <w:r>
        <w:rPr>
          <w:spacing w:val="-1"/>
          <w:w w:val="75"/>
        </w:rPr>
        <w:t>-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Estimativa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De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Limites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De</w:t>
      </w:r>
      <w:r>
        <w:rPr>
          <w:spacing w:val="-4"/>
          <w:w w:val="75"/>
        </w:rPr>
        <w:t> </w:t>
      </w:r>
      <w:r>
        <w:rPr>
          <w:spacing w:val="-1"/>
          <w:w w:val="75"/>
        </w:rPr>
        <w:t>Gastos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Com</w:t>
      </w:r>
      <w:r>
        <w:rPr>
          <w:spacing w:val="1"/>
          <w:w w:val="75"/>
        </w:rPr>
        <w:t> </w:t>
      </w:r>
      <w:r>
        <w:rPr>
          <w:spacing w:val="-1"/>
          <w:w w:val="75"/>
        </w:rPr>
        <w:t>Pessoal</w:t>
      </w:r>
      <w:r>
        <w:rPr>
          <w:spacing w:val="-5"/>
          <w:w w:val="75"/>
        </w:rPr>
        <w:t> </w:t>
      </w:r>
      <w:r>
        <w:rPr>
          <w:spacing w:val="-1"/>
          <w:w w:val="75"/>
        </w:rPr>
        <w:t>Do</w:t>
      </w:r>
      <w:r>
        <w:rPr>
          <w:spacing w:val="-4"/>
          <w:w w:val="75"/>
        </w:rPr>
        <w:t> </w:t>
      </w:r>
      <w:r>
        <w:rPr>
          <w:spacing w:val="-1"/>
          <w:w w:val="75"/>
        </w:rPr>
        <w:t>Poder</w:t>
      </w:r>
      <w:r>
        <w:rPr>
          <w:spacing w:val="-2"/>
          <w:w w:val="75"/>
        </w:rPr>
        <w:t> </w:t>
      </w:r>
      <w:r>
        <w:rPr>
          <w:w w:val="75"/>
        </w:rPr>
        <w:t>Executivo</w:t>
      </w:r>
      <w:r>
        <w:rPr>
          <w:spacing w:val="-5"/>
          <w:w w:val="75"/>
        </w:rPr>
        <w:t> </w:t>
      </w:r>
      <w:r>
        <w:rPr>
          <w:w w:val="75"/>
        </w:rPr>
        <w:t>E</w:t>
      </w:r>
      <w:r>
        <w:rPr>
          <w:spacing w:val="-2"/>
          <w:w w:val="75"/>
        </w:rPr>
        <w:t> </w:t>
      </w:r>
      <w:r>
        <w:rPr>
          <w:w w:val="75"/>
        </w:rPr>
        <w:t>Legislativo</w:t>
      </w:r>
    </w:p>
    <w:p>
      <w:pPr>
        <w:spacing w:line="216" w:lineRule="auto" w:before="36"/>
        <w:ind w:left="314" w:right="0" w:hanging="205"/>
        <w:jc w:val="left"/>
        <w:rPr>
          <w:rFonts w:ascii="Segoe UI"/>
          <w:b/>
          <w:sz w:val="18"/>
        </w:rPr>
      </w:pPr>
      <w:r>
        <w:rPr/>
        <w:br w:type="column"/>
      </w:r>
      <w:r>
        <w:rPr>
          <w:rFonts w:ascii="Segoe UI"/>
          <w:b/>
          <w:color w:val="202428"/>
          <w:w w:val="75"/>
          <w:sz w:val="18"/>
        </w:rPr>
        <w:t>Data:</w:t>
      </w:r>
      <w:r>
        <w:rPr>
          <w:rFonts w:ascii="Segoe UI"/>
          <w:b/>
          <w:color w:val="202428"/>
          <w:spacing w:val="1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29/07/2025</w:t>
      </w:r>
      <w:r>
        <w:rPr>
          <w:rFonts w:ascii="Segoe UI"/>
          <w:b/>
          <w:color w:val="202428"/>
          <w:spacing w:val="-35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Hora:</w:t>
      </w:r>
      <w:r>
        <w:rPr>
          <w:rFonts w:ascii="Segoe UI"/>
          <w:b/>
          <w:color w:val="202428"/>
          <w:spacing w:val="13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15:52:12</w:t>
      </w:r>
    </w:p>
    <w:p>
      <w:pPr>
        <w:spacing w:after="0" w:line="216" w:lineRule="auto"/>
        <w:jc w:val="left"/>
        <w:rPr>
          <w:rFonts w:ascii="Segoe UI"/>
          <w:sz w:val="18"/>
        </w:rPr>
        <w:sectPr>
          <w:type w:val="continuous"/>
          <w:pgSz w:w="11920" w:h="16840"/>
          <w:pgMar w:top="320" w:bottom="280" w:left="460" w:right="480"/>
          <w:cols w:num="2" w:equalWidth="0">
            <w:col w:w="9119" w:space="375"/>
            <w:col w:w="1486"/>
          </w:cols>
        </w:sect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8"/>
        <w:rPr>
          <w:rFonts w:ascii="Segoe UI"/>
          <w:b/>
          <w:sz w:val="10"/>
        </w:r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6"/>
        <w:gridCol w:w="1201"/>
        <w:gridCol w:w="1213"/>
        <w:gridCol w:w="1213"/>
        <w:gridCol w:w="1213"/>
      </w:tblGrid>
      <w:tr>
        <w:trPr>
          <w:trHeight w:val="286" w:hRule="atLeast"/>
        </w:trPr>
        <w:tc>
          <w:tcPr>
            <w:tcW w:w="5906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276" w:right="22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13"/>
                <w:w w:val="85"/>
                <w:sz w:val="17"/>
              </w:rPr>
              <w:t>PODER</w:t>
            </w:r>
            <w:r>
              <w:rPr>
                <w:rFonts w:ascii="Arial"/>
                <w:b/>
                <w:color w:val="202428"/>
                <w:spacing w:val="-29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12"/>
                <w:w w:val="85"/>
                <w:sz w:val="17"/>
              </w:rPr>
              <w:t>EXECUTIVO</w:t>
            </w:r>
          </w:p>
        </w:tc>
        <w:tc>
          <w:tcPr>
            <w:tcW w:w="120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94" w:right="37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121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98" w:right="37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121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98" w:right="37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121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97" w:right="37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6" w:hRule="atLeast"/>
        </w:trPr>
        <w:tc>
          <w:tcPr>
            <w:tcW w:w="590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Limite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Máximo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Legal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54%</w:t>
            </w:r>
            <w:r>
              <w:rPr>
                <w:color w:val="202428"/>
                <w:spacing w:val="-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RCL</w:t>
            </w:r>
            <w:r>
              <w:rPr>
                <w:color w:val="202428"/>
                <w:spacing w:val="-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(alínea</w:t>
            </w:r>
            <w:r>
              <w:rPr>
                <w:color w:val="202428"/>
                <w:spacing w:val="-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"b"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do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inciso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III</w:t>
            </w:r>
            <w:r>
              <w:rPr>
                <w:color w:val="202428"/>
                <w:spacing w:val="-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do</w:t>
            </w:r>
            <w:r>
              <w:rPr>
                <w:color w:val="202428"/>
                <w:spacing w:val="-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artigo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20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LRF)</w:t>
            </w:r>
          </w:p>
        </w:tc>
        <w:tc>
          <w:tcPr>
            <w:tcW w:w="120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right="39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24.492.212,46</w:t>
            </w:r>
          </w:p>
        </w:tc>
        <w:tc>
          <w:tcPr>
            <w:tcW w:w="121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right="40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25.649.843,94</w:t>
            </w:r>
          </w:p>
        </w:tc>
        <w:tc>
          <w:tcPr>
            <w:tcW w:w="121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right="41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26.801.683,92</w:t>
            </w:r>
          </w:p>
        </w:tc>
        <w:tc>
          <w:tcPr>
            <w:tcW w:w="121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right="41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27.949.824,90</w:t>
            </w:r>
          </w:p>
        </w:tc>
      </w:tr>
      <w:tr>
        <w:trPr>
          <w:trHeight w:val="285" w:hRule="atLeast"/>
        </w:trPr>
        <w:tc>
          <w:tcPr>
            <w:tcW w:w="590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Limite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Prudencial</w:t>
            </w:r>
            <w:r>
              <w:rPr>
                <w:color w:val="202428"/>
                <w:spacing w:val="20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2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51,30%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da</w:t>
            </w:r>
            <w:r>
              <w:rPr>
                <w:color w:val="202428"/>
                <w:spacing w:val="20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RCL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(parágrafo</w:t>
            </w:r>
            <w:r>
              <w:rPr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único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do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artigo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22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da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LRF)</w:t>
            </w:r>
          </w:p>
        </w:tc>
        <w:tc>
          <w:tcPr>
            <w:tcW w:w="1201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9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23.267.601,84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40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24.367.351,74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41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25.461.599,72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41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26.552.333,66</w:t>
            </w:r>
          </w:p>
        </w:tc>
      </w:tr>
      <w:tr>
        <w:trPr>
          <w:trHeight w:val="285" w:hRule="atLeast"/>
        </w:trPr>
        <w:tc>
          <w:tcPr>
            <w:tcW w:w="59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Limite</w:t>
            </w:r>
            <w:r>
              <w:rPr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de</w:t>
            </w:r>
            <w:r>
              <w:rPr>
                <w:color w:val="202428"/>
                <w:spacing w:val="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Alerta</w:t>
            </w:r>
            <w:r>
              <w:rPr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2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48,60%</w:t>
            </w:r>
            <w:r>
              <w:rPr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da</w:t>
            </w:r>
            <w:r>
              <w:rPr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RCL</w:t>
            </w:r>
            <w:r>
              <w:rPr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(inciso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II</w:t>
            </w:r>
            <w:r>
              <w:rPr>
                <w:color w:val="202428"/>
                <w:spacing w:val="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do</w:t>
            </w:r>
            <w:r>
              <w:rPr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§</w:t>
            </w:r>
            <w:r>
              <w:rPr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1°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do</w:t>
            </w:r>
            <w:r>
              <w:rPr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artigo</w:t>
            </w:r>
            <w:r>
              <w:rPr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59</w:t>
            </w:r>
            <w:r>
              <w:rPr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da</w:t>
            </w:r>
            <w:r>
              <w:rPr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LRF)</w:t>
            </w:r>
          </w:p>
        </w:tc>
        <w:tc>
          <w:tcPr>
            <w:tcW w:w="120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9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22.042.991,21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40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23.084.859,55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41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24.121.515,53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41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25.154.842,41</w:t>
            </w:r>
          </w:p>
        </w:tc>
      </w:tr>
    </w:tbl>
    <w:p>
      <w:pPr>
        <w:pStyle w:val="BodyText"/>
        <w:spacing w:before="7"/>
        <w:rPr>
          <w:rFonts w:ascii="Segoe UI"/>
          <w:b/>
          <w:sz w:val="13"/>
        </w:r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6"/>
        <w:gridCol w:w="1201"/>
        <w:gridCol w:w="1213"/>
        <w:gridCol w:w="1213"/>
        <w:gridCol w:w="1213"/>
      </w:tblGrid>
      <w:tr>
        <w:trPr>
          <w:trHeight w:val="286" w:hRule="atLeast"/>
        </w:trPr>
        <w:tc>
          <w:tcPr>
            <w:tcW w:w="5906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276" w:right="22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10"/>
                <w:w w:val="85"/>
                <w:sz w:val="17"/>
              </w:rPr>
              <w:t>PODER</w:t>
            </w:r>
            <w:r>
              <w:rPr>
                <w:rFonts w:ascii="Arial"/>
                <w:b/>
                <w:color w:val="202428"/>
                <w:spacing w:val="-28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10"/>
                <w:w w:val="85"/>
                <w:sz w:val="17"/>
              </w:rPr>
              <w:t>LEGISLATIVO</w:t>
            </w:r>
          </w:p>
        </w:tc>
        <w:tc>
          <w:tcPr>
            <w:tcW w:w="120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94" w:right="37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121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98" w:right="37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121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58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121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97" w:right="37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6" w:hRule="atLeast"/>
        </w:trPr>
        <w:tc>
          <w:tcPr>
            <w:tcW w:w="590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Limite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Máximo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Legal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6%</w:t>
            </w:r>
            <w:r>
              <w:rPr>
                <w:color w:val="202428"/>
                <w:spacing w:val="-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RCL</w:t>
            </w:r>
            <w:r>
              <w:rPr>
                <w:color w:val="202428"/>
                <w:spacing w:val="-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(alínea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"b"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do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inciso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III</w:t>
            </w:r>
            <w:r>
              <w:rPr>
                <w:color w:val="202428"/>
                <w:spacing w:val="-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do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artigo</w:t>
            </w:r>
            <w:r>
              <w:rPr>
                <w:color w:val="202428"/>
                <w:spacing w:val="-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20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LRF)</w:t>
            </w:r>
          </w:p>
        </w:tc>
        <w:tc>
          <w:tcPr>
            <w:tcW w:w="120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right="39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2.721.356,94</w:t>
            </w:r>
          </w:p>
        </w:tc>
        <w:tc>
          <w:tcPr>
            <w:tcW w:w="121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right="40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2.849.982,66</w:t>
            </w:r>
          </w:p>
        </w:tc>
        <w:tc>
          <w:tcPr>
            <w:tcW w:w="121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left="386"/>
              <w:jc w:val="left"/>
              <w:rPr>
                <w:sz w:val="17"/>
              </w:rPr>
            </w:pPr>
            <w:r>
              <w:rPr>
                <w:color w:val="202428"/>
                <w:spacing w:val="-9"/>
                <w:w w:val="110"/>
                <w:sz w:val="17"/>
              </w:rPr>
              <w:t>2.977.964,88</w:t>
            </w:r>
          </w:p>
        </w:tc>
        <w:tc>
          <w:tcPr>
            <w:tcW w:w="121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right="41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3.105.536,10</w:t>
            </w:r>
          </w:p>
        </w:tc>
      </w:tr>
      <w:tr>
        <w:trPr>
          <w:trHeight w:val="285" w:hRule="atLeast"/>
        </w:trPr>
        <w:tc>
          <w:tcPr>
            <w:tcW w:w="590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Limite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Prudencial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2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5,70%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da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RCL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(parágrafo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único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do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artigo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22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da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LRF)</w:t>
            </w:r>
          </w:p>
        </w:tc>
        <w:tc>
          <w:tcPr>
            <w:tcW w:w="1201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9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2.585.289,09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40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2.707.483,53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386"/>
              <w:jc w:val="left"/>
              <w:rPr>
                <w:sz w:val="17"/>
              </w:rPr>
            </w:pPr>
            <w:r>
              <w:rPr>
                <w:color w:val="202428"/>
                <w:spacing w:val="-9"/>
                <w:w w:val="110"/>
                <w:sz w:val="17"/>
              </w:rPr>
              <w:t>2.829.066,64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41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2.950.259,30</w:t>
            </w:r>
          </w:p>
        </w:tc>
      </w:tr>
      <w:tr>
        <w:trPr>
          <w:trHeight w:val="285" w:hRule="atLeast"/>
        </w:trPr>
        <w:tc>
          <w:tcPr>
            <w:tcW w:w="59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Limite de</w:t>
            </w:r>
            <w:r>
              <w:rPr>
                <w:color w:val="202428"/>
                <w:spacing w:val="-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Alerta -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5,40%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RCL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(inciso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II</w:t>
            </w:r>
            <w:r>
              <w:rPr>
                <w:color w:val="202428"/>
                <w:spacing w:val="-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do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§ 1° do artigo 59 da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LRF)</w:t>
            </w:r>
          </w:p>
        </w:tc>
        <w:tc>
          <w:tcPr>
            <w:tcW w:w="120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9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2.449.221,25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40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2.564.984,39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386"/>
              <w:jc w:val="left"/>
              <w:rPr>
                <w:sz w:val="17"/>
              </w:rPr>
            </w:pPr>
            <w:r>
              <w:rPr>
                <w:color w:val="202428"/>
                <w:spacing w:val="-9"/>
                <w:w w:val="110"/>
                <w:sz w:val="17"/>
              </w:rPr>
              <w:t>2.680.168,39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41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2.794.982,49</w:t>
            </w:r>
          </w:p>
        </w:tc>
      </w:tr>
    </w:tbl>
    <w:p>
      <w:pPr>
        <w:pStyle w:val="BodyText"/>
        <w:spacing w:before="4"/>
        <w:rPr>
          <w:rFonts w:ascii="Segoe UI"/>
          <w:b/>
          <w:sz w:val="8"/>
        </w:rPr>
      </w:pPr>
    </w:p>
    <w:p>
      <w:pPr>
        <w:pStyle w:val="BodyText"/>
        <w:spacing w:line="278" w:lineRule="auto" w:before="71"/>
        <w:ind w:left="110" w:firstLine="2"/>
      </w:pPr>
      <w:r>
        <w:rPr>
          <w:color w:val="202428"/>
          <w:w w:val="110"/>
        </w:rPr>
        <w:t>O</w:t>
      </w:r>
      <w:r>
        <w:rPr>
          <w:color w:val="202428"/>
          <w:spacing w:val="8"/>
          <w:w w:val="110"/>
        </w:rPr>
        <w:t> </w:t>
      </w:r>
      <w:r>
        <w:rPr>
          <w:color w:val="202428"/>
          <w:w w:val="110"/>
        </w:rPr>
        <w:t>objetivo</w:t>
      </w:r>
      <w:r>
        <w:rPr>
          <w:color w:val="202428"/>
          <w:spacing w:val="13"/>
          <w:w w:val="110"/>
        </w:rPr>
        <w:t> </w:t>
      </w:r>
      <w:r>
        <w:rPr>
          <w:color w:val="202428"/>
          <w:w w:val="110"/>
        </w:rPr>
        <w:t>do</w:t>
      </w:r>
      <w:r>
        <w:rPr>
          <w:color w:val="202428"/>
          <w:spacing w:val="12"/>
          <w:w w:val="110"/>
        </w:rPr>
        <w:t> </w:t>
      </w:r>
      <w:r>
        <w:rPr>
          <w:color w:val="202428"/>
          <w:w w:val="110"/>
        </w:rPr>
        <w:t>demonstrativo</w:t>
      </w:r>
      <w:r>
        <w:rPr>
          <w:color w:val="202428"/>
          <w:spacing w:val="13"/>
          <w:w w:val="110"/>
        </w:rPr>
        <w:t> </w:t>
      </w:r>
      <w:r>
        <w:rPr>
          <w:color w:val="202428"/>
          <w:w w:val="110"/>
        </w:rPr>
        <w:t>é</w:t>
      </w:r>
      <w:r>
        <w:rPr>
          <w:color w:val="202428"/>
          <w:spacing w:val="12"/>
          <w:w w:val="110"/>
        </w:rPr>
        <w:t> </w:t>
      </w:r>
      <w:r>
        <w:rPr>
          <w:color w:val="202428"/>
          <w:w w:val="110"/>
        </w:rPr>
        <w:t>evidenciar,</w:t>
      </w:r>
      <w:r>
        <w:rPr>
          <w:color w:val="202428"/>
          <w:spacing w:val="13"/>
          <w:w w:val="110"/>
        </w:rPr>
        <w:t> </w:t>
      </w:r>
      <w:r>
        <w:rPr>
          <w:color w:val="202428"/>
          <w:w w:val="110"/>
        </w:rPr>
        <w:t>com</w:t>
      </w:r>
      <w:r>
        <w:rPr>
          <w:color w:val="202428"/>
          <w:spacing w:val="2"/>
          <w:w w:val="110"/>
        </w:rPr>
        <w:t> </w:t>
      </w:r>
      <w:r>
        <w:rPr>
          <w:color w:val="202428"/>
          <w:w w:val="110"/>
        </w:rPr>
        <w:t>base</w:t>
      </w:r>
      <w:r>
        <w:rPr>
          <w:color w:val="202428"/>
          <w:spacing w:val="13"/>
          <w:w w:val="110"/>
        </w:rPr>
        <w:t> </w:t>
      </w:r>
      <w:r>
        <w:rPr>
          <w:color w:val="202428"/>
          <w:w w:val="110"/>
        </w:rPr>
        <w:t>na</w:t>
      </w:r>
      <w:r>
        <w:rPr>
          <w:color w:val="202428"/>
          <w:spacing w:val="15"/>
          <w:w w:val="110"/>
        </w:rPr>
        <w:t> </w:t>
      </w:r>
      <w:r>
        <w:rPr>
          <w:color w:val="202428"/>
          <w:w w:val="110"/>
        </w:rPr>
        <w:t>Receita</w:t>
      </w:r>
      <w:r>
        <w:rPr>
          <w:color w:val="202428"/>
          <w:spacing w:val="15"/>
          <w:w w:val="110"/>
        </w:rPr>
        <w:t> </w:t>
      </w:r>
      <w:r>
        <w:rPr>
          <w:color w:val="202428"/>
          <w:w w:val="110"/>
        </w:rPr>
        <w:t>Corrente</w:t>
      </w:r>
      <w:r>
        <w:rPr>
          <w:color w:val="202428"/>
          <w:spacing w:val="16"/>
          <w:w w:val="110"/>
        </w:rPr>
        <w:t> </w:t>
      </w:r>
      <w:r>
        <w:rPr>
          <w:color w:val="202428"/>
          <w:w w:val="110"/>
        </w:rPr>
        <w:t>Líquida</w:t>
      </w:r>
      <w:r>
        <w:rPr>
          <w:color w:val="202428"/>
          <w:spacing w:val="12"/>
          <w:w w:val="110"/>
        </w:rPr>
        <w:t> </w:t>
      </w:r>
      <w:r>
        <w:rPr>
          <w:color w:val="202428"/>
          <w:w w:val="110"/>
        </w:rPr>
        <w:t>prevista,</w:t>
      </w:r>
      <w:r>
        <w:rPr>
          <w:color w:val="202428"/>
          <w:spacing w:val="13"/>
          <w:w w:val="110"/>
        </w:rPr>
        <w:t> </w:t>
      </w:r>
      <w:r>
        <w:rPr>
          <w:color w:val="202428"/>
          <w:w w:val="110"/>
        </w:rPr>
        <w:t>os</w:t>
      </w:r>
      <w:r>
        <w:rPr>
          <w:color w:val="202428"/>
          <w:spacing w:val="10"/>
          <w:w w:val="110"/>
        </w:rPr>
        <w:t> </w:t>
      </w:r>
      <w:r>
        <w:rPr>
          <w:color w:val="202428"/>
          <w:w w:val="110"/>
        </w:rPr>
        <w:t>limites</w:t>
      </w:r>
      <w:r>
        <w:rPr>
          <w:color w:val="202428"/>
          <w:spacing w:val="14"/>
          <w:w w:val="110"/>
        </w:rPr>
        <w:t> </w:t>
      </w:r>
      <w:r>
        <w:rPr>
          <w:color w:val="202428"/>
          <w:w w:val="110"/>
        </w:rPr>
        <w:t>Lega,</w:t>
      </w:r>
      <w:r>
        <w:rPr>
          <w:color w:val="202428"/>
          <w:spacing w:val="15"/>
          <w:w w:val="110"/>
        </w:rPr>
        <w:t> </w:t>
      </w:r>
      <w:r>
        <w:rPr>
          <w:color w:val="202428"/>
          <w:w w:val="110"/>
        </w:rPr>
        <w:t>Prudencial</w:t>
      </w:r>
      <w:r>
        <w:rPr>
          <w:color w:val="202428"/>
          <w:spacing w:val="11"/>
          <w:w w:val="110"/>
        </w:rPr>
        <w:t> </w:t>
      </w:r>
      <w:r>
        <w:rPr>
          <w:color w:val="202428"/>
          <w:w w:val="110"/>
        </w:rPr>
        <w:t>e</w:t>
      </w:r>
      <w:r>
        <w:rPr>
          <w:color w:val="202428"/>
          <w:spacing w:val="13"/>
          <w:w w:val="110"/>
        </w:rPr>
        <w:t> </w:t>
      </w:r>
      <w:r>
        <w:rPr>
          <w:color w:val="202428"/>
          <w:w w:val="110"/>
        </w:rPr>
        <w:t>de</w:t>
      </w:r>
      <w:r>
        <w:rPr>
          <w:color w:val="202428"/>
          <w:spacing w:val="5"/>
          <w:w w:val="110"/>
        </w:rPr>
        <w:t> </w:t>
      </w:r>
      <w:r>
        <w:rPr>
          <w:color w:val="202428"/>
          <w:w w:val="110"/>
        </w:rPr>
        <w:t>Alerta</w:t>
      </w:r>
      <w:r>
        <w:rPr>
          <w:color w:val="202428"/>
          <w:spacing w:val="13"/>
          <w:w w:val="110"/>
        </w:rPr>
        <w:t> </w:t>
      </w:r>
      <w:r>
        <w:rPr>
          <w:color w:val="202428"/>
          <w:w w:val="110"/>
        </w:rPr>
        <w:t>para</w:t>
      </w:r>
      <w:r>
        <w:rPr>
          <w:color w:val="202428"/>
          <w:spacing w:val="14"/>
          <w:w w:val="110"/>
        </w:rPr>
        <w:t> </w:t>
      </w:r>
      <w:r>
        <w:rPr>
          <w:color w:val="202428"/>
          <w:w w:val="110"/>
        </w:rPr>
        <w:t>as</w:t>
      </w:r>
      <w:r>
        <w:rPr>
          <w:color w:val="202428"/>
          <w:spacing w:val="1"/>
          <w:w w:val="110"/>
        </w:rPr>
        <w:t> </w:t>
      </w:r>
      <w:r>
        <w:rPr>
          <w:color w:val="202428"/>
          <w:w w:val="110"/>
        </w:rPr>
        <w:t>Despesas</w:t>
      </w:r>
      <w:r>
        <w:rPr>
          <w:color w:val="202428"/>
          <w:spacing w:val="-3"/>
          <w:w w:val="110"/>
        </w:rPr>
        <w:t> </w:t>
      </w:r>
      <w:r>
        <w:rPr>
          <w:color w:val="202428"/>
          <w:w w:val="110"/>
        </w:rPr>
        <w:t>com</w:t>
      </w:r>
      <w:r>
        <w:rPr>
          <w:color w:val="202428"/>
          <w:spacing w:val="-12"/>
          <w:w w:val="110"/>
        </w:rPr>
        <w:t> </w:t>
      </w:r>
      <w:r>
        <w:rPr>
          <w:color w:val="202428"/>
          <w:w w:val="110"/>
        </w:rPr>
        <w:t>Pessoal</w:t>
      </w:r>
      <w:r>
        <w:rPr>
          <w:color w:val="202428"/>
          <w:spacing w:val="-3"/>
          <w:w w:val="110"/>
        </w:rPr>
        <w:t> </w:t>
      </w:r>
      <w:r>
        <w:rPr>
          <w:color w:val="202428"/>
          <w:w w:val="110"/>
        </w:rPr>
        <w:t>do</w:t>
      </w:r>
      <w:r>
        <w:rPr>
          <w:color w:val="202428"/>
          <w:spacing w:val="1"/>
          <w:w w:val="110"/>
        </w:rPr>
        <w:t> </w:t>
      </w:r>
      <w:r>
        <w:rPr>
          <w:color w:val="202428"/>
          <w:w w:val="110"/>
        </w:rPr>
        <w:t>Poder</w:t>
      </w:r>
      <w:r>
        <w:rPr>
          <w:color w:val="202428"/>
          <w:spacing w:val="2"/>
          <w:w w:val="110"/>
        </w:rPr>
        <w:t> </w:t>
      </w:r>
      <w:r>
        <w:rPr>
          <w:color w:val="202428"/>
          <w:w w:val="110"/>
        </w:rPr>
        <w:t>Executivo e Legislativo.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342" w:val="left" w:leader="none"/>
        </w:tabs>
        <w:spacing w:line="278" w:lineRule="auto" w:before="0" w:after="0"/>
        <w:ind w:left="110" w:right="113" w:firstLine="0"/>
        <w:jc w:val="both"/>
        <w:rPr>
          <w:sz w:val="19"/>
        </w:rPr>
      </w:pPr>
      <w:r>
        <w:rPr>
          <w:color w:val="202428"/>
          <w:w w:val="110"/>
          <w:sz w:val="19"/>
        </w:rPr>
        <w:t>quando as despesas com pessoal superarem, respectivamente, 48,60% e 5,40% da RCL no Poder Executivo e Legislativo, caberá a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emissão do alerta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de que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trata o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inciso II</w:t>
      </w:r>
      <w:r>
        <w:rPr>
          <w:color w:val="202428"/>
          <w:spacing w:val="-12"/>
          <w:w w:val="110"/>
          <w:sz w:val="19"/>
        </w:rPr>
        <w:t> </w:t>
      </w:r>
      <w:r>
        <w:rPr>
          <w:color w:val="202428"/>
          <w:w w:val="110"/>
          <w:sz w:val="19"/>
        </w:rPr>
        <w:t>do §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1º</w:t>
      </w:r>
      <w:r>
        <w:rPr>
          <w:color w:val="202428"/>
          <w:spacing w:val="-4"/>
          <w:w w:val="110"/>
          <w:sz w:val="19"/>
        </w:rPr>
        <w:t> </w:t>
      </w:r>
      <w:r>
        <w:rPr>
          <w:color w:val="202428"/>
          <w:w w:val="110"/>
          <w:sz w:val="19"/>
        </w:rPr>
        <w:t>do artigo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59;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78" w:lineRule="auto" w:before="0" w:after="0"/>
        <w:ind w:left="110" w:right="113" w:firstLine="0"/>
        <w:jc w:val="both"/>
        <w:rPr>
          <w:sz w:val="19"/>
        </w:rPr>
      </w:pPr>
      <w:r>
        <w:rPr>
          <w:color w:val="202428"/>
          <w:w w:val="110"/>
          <w:sz w:val="19"/>
        </w:rPr>
        <w:t>o limite prudencial corresponde a 51,30% e 5,70% da RCL, respectivamente no Executivo e Legislativo. Quando superado, e de acordo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com o estipulado no parágrafo único do artigo 22 c/c alínea “a” do inciso III do artigo 20, ambos da LRF, e coloca o respectivo poder ao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alcance das</w:t>
      </w:r>
      <w:r>
        <w:rPr>
          <w:color w:val="202428"/>
          <w:spacing w:val="-2"/>
          <w:w w:val="110"/>
          <w:sz w:val="19"/>
        </w:rPr>
        <w:t> </w:t>
      </w:r>
      <w:r>
        <w:rPr>
          <w:color w:val="202428"/>
          <w:w w:val="110"/>
          <w:sz w:val="19"/>
        </w:rPr>
        <w:t>seguintes</w:t>
      </w:r>
      <w:r>
        <w:rPr>
          <w:color w:val="202428"/>
          <w:spacing w:val="-3"/>
          <w:w w:val="110"/>
          <w:sz w:val="19"/>
        </w:rPr>
        <w:t> </w:t>
      </w:r>
      <w:r>
        <w:rPr>
          <w:color w:val="202428"/>
          <w:w w:val="110"/>
          <w:sz w:val="19"/>
        </w:rPr>
        <w:t>vedações:</w:t>
      </w:r>
    </w:p>
    <w:p>
      <w:pPr>
        <w:pStyle w:val="ListParagraph"/>
        <w:numPr>
          <w:ilvl w:val="0"/>
          <w:numId w:val="2"/>
        </w:numPr>
        <w:tabs>
          <w:tab w:pos="206" w:val="left" w:leader="none"/>
        </w:tabs>
        <w:spacing w:line="278" w:lineRule="auto" w:before="0" w:after="0"/>
        <w:ind w:left="110" w:right="113" w:firstLine="2"/>
        <w:jc w:val="left"/>
        <w:rPr>
          <w:sz w:val="19"/>
        </w:rPr>
      </w:pPr>
      <w:r>
        <w:rPr>
          <w:color w:val="202428"/>
          <w:w w:val="110"/>
          <w:sz w:val="19"/>
        </w:rPr>
        <w:t>-</w:t>
      </w:r>
      <w:r>
        <w:rPr>
          <w:color w:val="202428"/>
          <w:spacing w:val="10"/>
          <w:w w:val="110"/>
          <w:sz w:val="19"/>
        </w:rPr>
        <w:t> </w:t>
      </w:r>
      <w:r>
        <w:rPr>
          <w:color w:val="202428"/>
          <w:w w:val="110"/>
          <w:sz w:val="19"/>
        </w:rPr>
        <w:t>concessão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de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vantagem,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aumento,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reajuste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ou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adequação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de</w:t>
      </w:r>
      <w:r>
        <w:rPr>
          <w:color w:val="202428"/>
          <w:spacing w:val="8"/>
          <w:w w:val="110"/>
          <w:sz w:val="19"/>
        </w:rPr>
        <w:t> </w:t>
      </w:r>
      <w:r>
        <w:rPr>
          <w:color w:val="202428"/>
          <w:w w:val="110"/>
          <w:sz w:val="19"/>
        </w:rPr>
        <w:t>remuneração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a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qualquer</w:t>
      </w:r>
      <w:r>
        <w:rPr>
          <w:color w:val="202428"/>
          <w:spacing w:val="11"/>
          <w:w w:val="110"/>
          <w:sz w:val="19"/>
        </w:rPr>
        <w:t> </w:t>
      </w:r>
      <w:r>
        <w:rPr>
          <w:color w:val="202428"/>
          <w:w w:val="110"/>
          <w:sz w:val="19"/>
        </w:rPr>
        <w:t>título,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salvo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os</w:t>
      </w:r>
      <w:r>
        <w:rPr>
          <w:color w:val="202428"/>
          <w:spacing w:val="7"/>
          <w:w w:val="110"/>
          <w:sz w:val="19"/>
        </w:rPr>
        <w:t> </w:t>
      </w:r>
      <w:r>
        <w:rPr>
          <w:color w:val="202428"/>
          <w:w w:val="110"/>
          <w:sz w:val="19"/>
        </w:rPr>
        <w:t>derivados</w:t>
      </w:r>
      <w:r>
        <w:rPr>
          <w:color w:val="202428"/>
          <w:spacing w:val="7"/>
          <w:w w:val="110"/>
          <w:sz w:val="19"/>
        </w:rPr>
        <w:t> </w:t>
      </w:r>
      <w:r>
        <w:rPr>
          <w:color w:val="202428"/>
          <w:w w:val="110"/>
          <w:sz w:val="19"/>
        </w:rPr>
        <w:t>de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sentença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judicial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ou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de determinação legal</w:t>
      </w:r>
      <w:r>
        <w:rPr>
          <w:color w:val="202428"/>
          <w:spacing w:val="-3"/>
          <w:w w:val="110"/>
          <w:sz w:val="19"/>
        </w:rPr>
        <w:t> </w:t>
      </w:r>
      <w:r>
        <w:rPr>
          <w:color w:val="202428"/>
          <w:w w:val="110"/>
          <w:sz w:val="19"/>
        </w:rPr>
        <w:t>ou contratual,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w w:val="110"/>
          <w:sz w:val="19"/>
        </w:rPr>
        <w:t>ressalvada a revisão prevista no inciso X</w:t>
      </w:r>
      <w:r>
        <w:rPr>
          <w:color w:val="202428"/>
          <w:spacing w:val="-19"/>
          <w:w w:val="110"/>
          <w:sz w:val="19"/>
        </w:rPr>
        <w:t> </w:t>
      </w:r>
      <w:r>
        <w:rPr>
          <w:color w:val="202428"/>
          <w:w w:val="110"/>
          <w:sz w:val="19"/>
        </w:rPr>
        <w:t>do artigo 37 da Constituição;</w:t>
      </w:r>
    </w:p>
    <w:p>
      <w:pPr>
        <w:pStyle w:val="ListParagraph"/>
        <w:numPr>
          <w:ilvl w:val="0"/>
          <w:numId w:val="2"/>
        </w:numPr>
        <w:tabs>
          <w:tab w:pos="231" w:val="left" w:leader="none"/>
        </w:tabs>
        <w:spacing w:line="216" w:lineRule="exact" w:before="0" w:after="0"/>
        <w:ind w:left="230" w:right="0" w:hanging="121"/>
        <w:jc w:val="left"/>
        <w:rPr>
          <w:sz w:val="19"/>
        </w:rPr>
      </w:pPr>
      <w:r>
        <w:rPr>
          <w:color w:val="202428"/>
          <w:w w:val="110"/>
          <w:sz w:val="19"/>
        </w:rPr>
        <w:t>-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criação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w w:val="110"/>
          <w:sz w:val="19"/>
        </w:rPr>
        <w:t>de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w w:val="110"/>
          <w:sz w:val="19"/>
        </w:rPr>
        <w:t>cargo,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w w:val="110"/>
          <w:sz w:val="19"/>
        </w:rPr>
        <w:t>emprego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w w:val="110"/>
          <w:sz w:val="19"/>
        </w:rPr>
        <w:t>ou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w w:val="110"/>
          <w:sz w:val="19"/>
        </w:rPr>
        <w:t>função;</w:t>
      </w:r>
    </w:p>
    <w:p>
      <w:pPr>
        <w:pStyle w:val="ListParagraph"/>
        <w:numPr>
          <w:ilvl w:val="0"/>
          <w:numId w:val="2"/>
        </w:numPr>
        <w:tabs>
          <w:tab w:pos="267" w:val="left" w:leader="none"/>
        </w:tabs>
        <w:spacing w:line="240" w:lineRule="auto" w:before="32" w:after="0"/>
        <w:ind w:left="266" w:right="0" w:hanging="157"/>
        <w:jc w:val="left"/>
        <w:rPr>
          <w:sz w:val="19"/>
        </w:rPr>
      </w:pPr>
      <w:r>
        <w:rPr>
          <w:color w:val="202428"/>
          <w:w w:val="110"/>
          <w:sz w:val="19"/>
        </w:rPr>
        <w:t>- alteração</w:t>
      </w:r>
      <w:r>
        <w:rPr>
          <w:color w:val="202428"/>
          <w:spacing w:val="-2"/>
          <w:w w:val="110"/>
          <w:sz w:val="19"/>
        </w:rPr>
        <w:t> </w:t>
      </w:r>
      <w:r>
        <w:rPr>
          <w:color w:val="202428"/>
          <w:w w:val="110"/>
          <w:sz w:val="19"/>
        </w:rPr>
        <w:t>de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w w:val="110"/>
          <w:sz w:val="19"/>
        </w:rPr>
        <w:t>estrutura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w w:val="110"/>
          <w:sz w:val="19"/>
        </w:rPr>
        <w:t>de</w:t>
      </w:r>
      <w:r>
        <w:rPr>
          <w:color w:val="202428"/>
          <w:spacing w:val="-2"/>
          <w:w w:val="110"/>
          <w:sz w:val="19"/>
        </w:rPr>
        <w:t> </w:t>
      </w:r>
      <w:r>
        <w:rPr>
          <w:color w:val="202428"/>
          <w:w w:val="110"/>
          <w:sz w:val="19"/>
        </w:rPr>
        <w:t>carreira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w w:val="110"/>
          <w:sz w:val="19"/>
        </w:rPr>
        <w:t>que</w:t>
      </w:r>
      <w:r>
        <w:rPr>
          <w:color w:val="202428"/>
          <w:spacing w:val="-2"/>
          <w:w w:val="110"/>
          <w:sz w:val="19"/>
        </w:rPr>
        <w:t> </w:t>
      </w:r>
      <w:r>
        <w:rPr>
          <w:color w:val="202428"/>
          <w:w w:val="110"/>
          <w:sz w:val="19"/>
        </w:rPr>
        <w:t>implique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w w:val="110"/>
          <w:sz w:val="19"/>
        </w:rPr>
        <w:t>aumento</w:t>
      </w:r>
      <w:r>
        <w:rPr>
          <w:color w:val="202428"/>
          <w:spacing w:val="-2"/>
          <w:w w:val="110"/>
          <w:sz w:val="19"/>
        </w:rPr>
        <w:t> </w:t>
      </w:r>
      <w:r>
        <w:rPr>
          <w:color w:val="202428"/>
          <w:w w:val="110"/>
          <w:sz w:val="19"/>
        </w:rPr>
        <w:t>de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w w:val="110"/>
          <w:sz w:val="19"/>
        </w:rPr>
        <w:t>despesa;</w:t>
      </w:r>
    </w:p>
    <w:p>
      <w:pPr>
        <w:pStyle w:val="ListParagraph"/>
        <w:numPr>
          <w:ilvl w:val="0"/>
          <w:numId w:val="2"/>
        </w:numPr>
        <w:tabs>
          <w:tab w:pos="304" w:val="left" w:leader="none"/>
        </w:tabs>
        <w:spacing w:line="278" w:lineRule="auto" w:before="34" w:after="0"/>
        <w:ind w:left="110" w:right="113" w:firstLine="2"/>
        <w:jc w:val="left"/>
        <w:rPr>
          <w:sz w:val="19"/>
        </w:rPr>
      </w:pPr>
      <w:r>
        <w:rPr>
          <w:color w:val="202428"/>
          <w:w w:val="110"/>
          <w:sz w:val="19"/>
        </w:rPr>
        <w:t>- provimento de cargo público, admissão ou contratação de pessoal a qualquer título, ressalvada a reposição decorrente de aposentadoria</w:t>
      </w:r>
      <w:r>
        <w:rPr>
          <w:color w:val="202428"/>
          <w:spacing w:val="-45"/>
          <w:w w:val="110"/>
          <w:sz w:val="19"/>
        </w:rPr>
        <w:t> </w:t>
      </w:r>
      <w:r>
        <w:rPr>
          <w:color w:val="202428"/>
          <w:w w:val="110"/>
          <w:sz w:val="19"/>
        </w:rPr>
        <w:t>ou falecimento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de servidores</w:t>
      </w:r>
      <w:r>
        <w:rPr>
          <w:color w:val="202428"/>
          <w:spacing w:val="-2"/>
          <w:w w:val="110"/>
          <w:sz w:val="19"/>
        </w:rPr>
        <w:t> </w:t>
      </w:r>
      <w:r>
        <w:rPr>
          <w:color w:val="202428"/>
          <w:w w:val="110"/>
          <w:sz w:val="19"/>
        </w:rPr>
        <w:t>das</w:t>
      </w:r>
      <w:r>
        <w:rPr>
          <w:color w:val="202428"/>
          <w:spacing w:val="-3"/>
          <w:w w:val="110"/>
          <w:sz w:val="19"/>
        </w:rPr>
        <w:t> </w:t>
      </w:r>
      <w:r>
        <w:rPr>
          <w:color w:val="202428"/>
          <w:w w:val="110"/>
          <w:sz w:val="19"/>
        </w:rPr>
        <w:t>áreas</w:t>
      </w:r>
      <w:r>
        <w:rPr>
          <w:color w:val="202428"/>
          <w:spacing w:val="-2"/>
          <w:w w:val="110"/>
          <w:sz w:val="19"/>
        </w:rPr>
        <w:t> </w:t>
      </w:r>
      <w:r>
        <w:rPr>
          <w:color w:val="202428"/>
          <w:w w:val="110"/>
          <w:sz w:val="19"/>
        </w:rPr>
        <w:t>de educação, saúde e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segurança;</w:t>
      </w:r>
    </w:p>
    <w:p>
      <w:pPr>
        <w:pStyle w:val="ListParagraph"/>
        <w:numPr>
          <w:ilvl w:val="0"/>
          <w:numId w:val="2"/>
        </w:numPr>
        <w:tabs>
          <w:tab w:pos="275" w:val="left" w:leader="none"/>
        </w:tabs>
        <w:spacing w:line="278" w:lineRule="auto" w:before="0" w:after="0"/>
        <w:ind w:left="110" w:right="113" w:firstLine="2"/>
        <w:jc w:val="left"/>
        <w:rPr>
          <w:sz w:val="19"/>
        </w:rPr>
      </w:pPr>
      <w:r>
        <w:rPr>
          <w:color w:val="202428"/>
          <w:w w:val="110"/>
          <w:sz w:val="19"/>
        </w:rPr>
        <w:t>-</w:t>
      </w:r>
      <w:r>
        <w:rPr>
          <w:color w:val="202428"/>
          <w:spacing w:val="8"/>
          <w:w w:val="110"/>
          <w:sz w:val="19"/>
        </w:rPr>
        <w:t> </w:t>
      </w:r>
      <w:r>
        <w:rPr>
          <w:color w:val="202428"/>
          <w:w w:val="110"/>
          <w:sz w:val="19"/>
        </w:rPr>
        <w:t>contratação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de</w:t>
      </w:r>
      <w:r>
        <w:rPr>
          <w:color w:val="202428"/>
          <w:spacing w:val="7"/>
          <w:w w:val="110"/>
          <w:sz w:val="19"/>
        </w:rPr>
        <w:t> </w:t>
      </w:r>
      <w:r>
        <w:rPr>
          <w:color w:val="202428"/>
          <w:w w:val="110"/>
          <w:sz w:val="19"/>
        </w:rPr>
        <w:t>hora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extra,</w:t>
      </w:r>
      <w:r>
        <w:rPr>
          <w:color w:val="202428"/>
          <w:spacing w:val="7"/>
          <w:w w:val="110"/>
          <w:sz w:val="19"/>
        </w:rPr>
        <w:t> </w:t>
      </w:r>
      <w:r>
        <w:rPr>
          <w:color w:val="202428"/>
          <w:w w:val="110"/>
          <w:sz w:val="19"/>
        </w:rPr>
        <w:t>salvo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no</w:t>
      </w:r>
      <w:r>
        <w:rPr>
          <w:color w:val="202428"/>
          <w:spacing w:val="7"/>
          <w:w w:val="110"/>
          <w:sz w:val="19"/>
        </w:rPr>
        <w:t> </w:t>
      </w:r>
      <w:r>
        <w:rPr>
          <w:color w:val="202428"/>
          <w:w w:val="110"/>
          <w:sz w:val="19"/>
        </w:rPr>
        <w:t>caso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do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disposto</w:t>
      </w:r>
      <w:r>
        <w:rPr>
          <w:color w:val="202428"/>
          <w:spacing w:val="7"/>
          <w:w w:val="110"/>
          <w:sz w:val="19"/>
        </w:rPr>
        <w:t> </w:t>
      </w:r>
      <w:r>
        <w:rPr>
          <w:color w:val="202428"/>
          <w:w w:val="110"/>
          <w:sz w:val="19"/>
        </w:rPr>
        <w:t>no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inciso</w:t>
      </w:r>
      <w:r>
        <w:rPr>
          <w:color w:val="202428"/>
          <w:spacing w:val="10"/>
          <w:w w:val="110"/>
          <w:sz w:val="19"/>
        </w:rPr>
        <w:t> </w:t>
      </w:r>
      <w:r>
        <w:rPr>
          <w:color w:val="202428"/>
          <w:w w:val="110"/>
          <w:sz w:val="19"/>
        </w:rPr>
        <w:t>II</w:t>
      </w:r>
      <w:r>
        <w:rPr>
          <w:color w:val="202428"/>
          <w:spacing w:val="-8"/>
          <w:w w:val="110"/>
          <w:sz w:val="19"/>
        </w:rPr>
        <w:t> </w:t>
      </w:r>
      <w:r>
        <w:rPr>
          <w:color w:val="202428"/>
          <w:w w:val="110"/>
          <w:sz w:val="19"/>
        </w:rPr>
        <w:t>do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§</w:t>
      </w:r>
      <w:r>
        <w:rPr>
          <w:color w:val="202428"/>
          <w:spacing w:val="7"/>
          <w:w w:val="110"/>
          <w:sz w:val="19"/>
        </w:rPr>
        <w:t> </w:t>
      </w:r>
      <w:r>
        <w:rPr>
          <w:color w:val="202428"/>
          <w:w w:val="110"/>
          <w:sz w:val="19"/>
        </w:rPr>
        <w:t>6º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do</w:t>
      </w:r>
      <w:r>
        <w:rPr>
          <w:color w:val="202428"/>
          <w:spacing w:val="7"/>
          <w:w w:val="110"/>
          <w:sz w:val="19"/>
        </w:rPr>
        <w:t> </w:t>
      </w:r>
      <w:r>
        <w:rPr>
          <w:color w:val="202428"/>
          <w:w w:val="110"/>
          <w:sz w:val="19"/>
        </w:rPr>
        <w:t>artigo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57</w:t>
      </w:r>
      <w:r>
        <w:rPr>
          <w:color w:val="202428"/>
          <w:spacing w:val="7"/>
          <w:w w:val="110"/>
          <w:sz w:val="19"/>
        </w:rPr>
        <w:t> </w:t>
      </w:r>
      <w:r>
        <w:rPr>
          <w:color w:val="202428"/>
          <w:w w:val="110"/>
          <w:sz w:val="19"/>
        </w:rPr>
        <w:t>da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Constituição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e</w:t>
      </w:r>
      <w:r>
        <w:rPr>
          <w:color w:val="202428"/>
          <w:spacing w:val="7"/>
          <w:w w:val="110"/>
          <w:sz w:val="19"/>
        </w:rPr>
        <w:t> </w:t>
      </w:r>
      <w:r>
        <w:rPr>
          <w:color w:val="202428"/>
          <w:w w:val="110"/>
          <w:sz w:val="19"/>
        </w:rPr>
        <w:t>as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situações</w:t>
      </w:r>
      <w:r>
        <w:rPr>
          <w:color w:val="202428"/>
          <w:spacing w:val="4"/>
          <w:w w:val="110"/>
          <w:sz w:val="19"/>
        </w:rPr>
        <w:t> </w:t>
      </w:r>
      <w:r>
        <w:rPr>
          <w:color w:val="202428"/>
          <w:w w:val="110"/>
          <w:sz w:val="19"/>
        </w:rPr>
        <w:t>previstas</w:t>
      </w:r>
      <w:r>
        <w:rPr>
          <w:color w:val="202428"/>
          <w:spacing w:val="4"/>
          <w:w w:val="110"/>
          <w:sz w:val="19"/>
        </w:rPr>
        <w:t> </w:t>
      </w:r>
      <w:r>
        <w:rPr>
          <w:color w:val="202428"/>
          <w:w w:val="110"/>
          <w:sz w:val="19"/>
        </w:rPr>
        <w:t>na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Lei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de</w:t>
      </w:r>
      <w:r>
        <w:rPr>
          <w:color w:val="202428"/>
          <w:spacing w:val="-44"/>
          <w:w w:val="110"/>
          <w:sz w:val="19"/>
        </w:rPr>
        <w:t> </w:t>
      </w:r>
      <w:r>
        <w:rPr>
          <w:color w:val="202428"/>
          <w:w w:val="110"/>
          <w:sz w:val="19"/>
        </w:rPr>
        <w:t>Diretrizes</w:t>
      </w:r>
      <w:r>
        <w:rPr>
          <w:color w:val="202428"/>
          <w:spacing w:val="-3"/>
          <w:w w:val="110"/>
          <w:sz w:val="19"/>
        </w:rPr>
        <w:t> </w:t>
      </w:r>
      <w:r>
        <w:rPr>
          <w:color w:val="202428"/>
          <w:w w:val="110"/>
          <w:sz w:val="19"/>
        </w:rPr>
        <w:t>Orçamentárias.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78" w:lineRule="auto" w:before="1" w:after="0"/>
        <w:ind w:left="110" w:right="111" w:firstLine="0"/>
        <w:jc w:val="both"/>
        <w:rPr>
          <w:sz w:val="19"/>
        </w:rPr>
      </w:pPr>
      <w:r>
        <w:rPr>
          <w:color w:val="202428"/>
          <w:w w:val="110"/>
          <w:sz w:val="19"/>
        </w:rPr>
        <w:t>Já quando superado o limite legal, de 6% no Legislativo e de 54% no caso do Executivo, além das vedações previstas no parágrafo único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do</w:t>
      </w:r>
      <w:r>
        <w:rPr>
          <w:color w:val="202428"/>
          <w:spacing w:val="2"/>
          <w:w w:val="110"/>
          <w:sz w:val="19"/>
        </w:rPr>
        <w:t> </w:t>
      </w:r>
      <w:r>
        <w:rPr>
          <w:color w:val="202428"/>
          <w:w w:val="110"/>
          <w:sz w:val="19"/>
        </w:rPr>
        <w:t>art.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22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da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LRF,</w:t>
      </w:r>
      <w:r>
        <w:rPr>
          <w:color w:val="202428"/>
          <w:spacing w:val="2"/>
          <w:w w:val="110"/>
          <w:sz w:val="19"/>
        </w:rPr>
        <w:t> </w:t>
      </w:r>
      <w:r>
        <w:rPr>
          <w:color w:val="202428"/>
          <w:w w:val="110"/>
          <w:sz w:val="19"/>
        </w:rPr>
        <w:t>o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Poder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que</w:t>
      </w:r>
      <w:r>
        <w:rPr>
          <w:color w:val="202428"/>
          <w:spacing w:val="2"/>
          <w:w w:val="110"/>
          <w:sz w:val="19"/>
        </w:rPr>
        <w:t> </w:t>
      </w:r>
      <w:r>
        <w:rPr>
          <w:color w:val="202428"/>
          <w:w w:val="110"/>
          <w:sz w:val="19"/>
        </w:rPr>
        <w:t>houver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incidido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no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excesso</w:t>
      </w:r>
      <w:r>
        <w:rPr>
          <w:color w:val="202428"/>
          <w:spacing w:val="8"/>
          <w:w w:val="110"/>
          <w:sz w:val="19"/>
        </w:rPr>
        <w:t> </w:t>
      </w:r>
      <w:r>
        <w:rPr>
          <w:color w:val="202428"/>
          <w:w w:val="110"/>
          <w:sz w:val="19"/>
        </w:rPr>
        <w:t>deverá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adotar</w:t>
      </w:r>
      <w:r>
        <w:rPr>
          <w:color w:val="202428"/>
          <w:spacing w:val="5"/>
          <w:w w:val="110"/>
          <w:sz w:val="19"/>
        </w:rPr>
        <w:t> </w:t>
      </w:r>
      <w:r>
        <w:rPr>
          <w:color w:val="202428"/>
          <w:w w:val="110"/>
          <w:sz w:val="19"/>
        </w:rPr>
        <w:t>providências para</w:t>
      </w:r>
      <w:r>
        <w:rPr>
          <w:color w:val="202428"/>
          <w:spacing w:val="2"/>
          <w:w w:val="110"/>
          <w:sz w:val="19"/>
        </w:rPr>
        <w:t> </w:t>
      </w:r>
      <w:r>
        <w:rPr>
          <w:color w:val="202428"/>
          <w:w w:val="110"/>
          <w:sz w:val="19"/>
        </w:rPr>
        <w:t>a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eliminação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do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percentual excedente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no</w:t>
      </w:r>
      <w:r>
        <w:rPr>
          <w:color w:val="202428"/>
          <w:spacing w:val="2"/>
          <w:w w:val="110"/>
          <w:sz w:val="19"/>
        </w:rPr>
        <w:t> </w:t>
      </w:r>
      <w:r>
        <w:rPr>
          <w:color w:val="202428"/>
          <w:w w:val="110"/>
          <w:sz w:val="19"/>
        </w:rPr>
        <w:t>prazo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e</w:t>
      </w:r>
      <w:r>
        <w:rPr>
          <w:color w:val="202428"/>
          <w:spacing w:val="5"/>
          <w:w w:val="110"/>
          <w:sz w:val="19"/>
        </w:rPr>
        <w:t> </w:t>
      </w:r>
      <w:r>
        <w:rPr>
          <w:color w:val="202428"/>
          <w:w w:val="110"/>
          <w:sz w:val="19"/>
        </w:rPr>
        <w:t>condições</w:t>
      </w:r>
      <w:r>
        <w:rPr>
          <w:color w:val="202428"/>
          <w:spacing w:val="4"/>
          <w:w w:val="110"/>
          <w:sz w:val="19"/>
        </w:rPr>
        <w:t> </w:t>
      </w:r>
      <w:r>
        <w:rPr>
          <w:color w:val="202428"/>
          <w:w w:val="110"/>
          <w:sz w:val="19"/>
        </w:rPr>
        <w:t>estabelecidas</w:t>
      </w:r>
      <w:r>
        <w:rPr>
          <w:color w:val="202428"/>
          <w:spacing w:val="4"/>
          <w:w w:val="110"/>
          <w:sz w:val="19"/>
        </w:rPr>
        <w:t> </w:t>
      </w:r>
      <w:r>
        <w:rPr>
          <w:color w:val="202428"/>
          <w:w w:val="110"/>
          <w:sz w:val="19"/>
        </w:rPr>
        <w:t>nos</w:t>
      </w:r>
      <w:r>
        <w:rPr>
          <w:color w:val="202428"/>
          <w:spacing w:val="4"/>
          <w:w w:val="110"/>
          <w:sz w:val="19"/>
        </w:rPr>
        <w:t> </w:t>
      </w:r>
      <w:r>
        <w:rPr>
          <w:color w:val="202428"/>
          <w:w w:val="110"/>
          <w:sz w:val="19"/>
        </w:rPr>
        <w:t>§§</w:t>
      </w:r>
      <w:r>
        <w:rPr>
          <w:color w:val="202428"/>
          <w:spacing w:val="5"/>
          <w:w w:val="110"/>
          <w:sz w:val="19"/>
        </w:rPr>
        <w:t> </w:t>
      </w:r>
      <w:r>
        <w:rPr>
          <w:color w:val="202428"/>
          <w:w w:val="110"/>
          <w:sz w:val="19"/>
        </w:rPr>
        <w:t>1º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e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2º</w:t>
      </w:r>
      <w:r>
        <w:rPr>
          <w:color w:val="202428"/>
          <w:spacing w:val="3"/>
          <w:w w:val="110"/>
          <w:sz w:val="19"/>
        </w:rPr>
        <w:t> </w:t>
      </w:r>
      <w:r>
        <w:rPr>
          <w:color w:val="202428"/>
          <w:w w:val="110"/>
          <w:sz w:val="19"/>
        </w:rPr>
        <w:t>e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do</w:t>
      </w:r>
      <w:r>
        <w:rPr>
          <w:color w:val="202428"/>
          <w:spacing w:val="5"/>
          <w:w w:val="110"/>
          <w:sz w:val="19"/>
        </w:rPr>
        <w:t> </w:t>
      </w:r>
      <w:r>
        <w:rPr>
          <w:color w:val="202428"/>
          <w:w w:val="110"/>
          <w:sz w:val="19"/>
        </w:rPr>
        <w:t>caput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do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artigo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23,</w:t>
      </w:r>
      <w:r>
        <w:rPr>
          <w:color w:val="202428"/>
          <w:spacing w:val="5"/>
          <w:w w:val="110"/>
          <w:sz w:val="19"/>
        </w:rPr>
        <w:t> </w:t>
      </w:r>
      <w:r>
        <w:rPr>
          <w:color w:val="202428"/>
          <w:w w:val="110"/>
          <w:sz w:val="19"/>
        </w:rPr>
        <w:t>e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o</w:t>
      </w:r>
      <w:r>
        <w:rPr>
          <w:color w:val="202428"/>
          <w:spacing w:val="9"/>
          <w:w w:val="110"/>
          <w:sz w:val="19"/>
        </w:rPr>
        <w:t> </w:t>
      </w:r>
      <w:r>
        <w:rPr>
          <w:color w:val="202428"/>
          <w:w w:val="110"/>
          <w:sz w:val="19"/>
        </w:rPr>
        <w:t>Município</w:t>
      </w:r>
      <w:r>
        <w:rPr>
          <w:color w:val="202428"/>
          <w:spacing w:val="5"/>
          <w:w w:val="110"/>
          <w:sz w:val="19"/>
        </w:rPr>
        <w:t> </w:t>
      </w:r>
      <w:r>
        <w:rPr>
          <w:color w:val="202428"/>
          <w:w w:val="110"/>
          <w:sz w:val="19"/>
        </w:rPr>
        <w:t>sujeito</w:t>
      </w:r>
      <w:r>
        <w:rPr>
          <w:color w:val="202428"/>
          <w:spacing w:val="6"/>
          <w:w w:val="110"/>
          <w:sz w:val="19"/>
        </w:rPr>
        <w:t> </w:t>
      </w:r>
      <w:r>
        <w:rPr>
          <w:color w:val="202428"/>
          <w:w w:val="110"/>
          <w:sz w:val="19"/>
        </w:rPr>
        <w:t>às</w:t>
      </w:r>
      <w:r>
        <w:rPr>
          <w:color w:val="202428"/>
          <w:spacing w:val="4"/>
          <w:w w:val="110"/>
          <w:sz w:val="19"/>
        </w:rPr>
        <w:t> </w:t>
      </w:r>
      <w:r>
        <w:rPr>
          <w:color w:val="202428"/>
          <w:w w:val="110"/>
          <w:sz w:val="19"/>
        </w:rPr>
        <w:t>restrições</w:t>
      </w:r>
      <w:r>
        <w:rPr>
          <w:color w:val="202428"/>
          <w:spacing w:val="4"/>
          <w:w w:val="110"/>
          <w:sz w:val="19"/>
        </w:rPr>
        <w:t> </w:t>
      </w:r>
      <w:r>
        <w:rPr>
          <w:color w:val="202428"/>
          <w:w w:val="110"/>
          <w:sz w:val="19"/>
        </w:rPr>
        <w:t>dos</w:t>
      </w:r>
      <w:r>
        <w:rPr>
          <w:color w:val="202428"/>
          <w:spacing w:val="4"/>
          <w:w w:val="110"/>
          <w:sz w:val="19"/>
        </w:rPr>
        <w:t> </w:t>
      </w:r>
      <w:r>
        <w:rPr>
          <w:color w:val="202428"/>
          <w:w w:val="110"/>
          <w:sz w:val="19"/>
        </w:rPr>
        <w:t>§§</w:t>
      </w:r>
      <w:r>
        <w:rPr>
          <w:color w:val="202428"/>
          <w:spacing w:val="5"/>
          <w:w w:val="110"/>
          <w:sz w:val="19"/>
        </w:rPr>
        <w:t> </w:t>
      </w:r>
      <w:r>
        <w:rPr>
          <w:color w:val="202428"/>
          <w:w w:val="110"/>
          <w:sz w:val="19"/>
        </w:rPr>
        <w:t>3º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w w:val="110"/>
          <w:sz w:val="19"/>
        </w:rPr>
        <w:t>e</w:t>
      </w:r>
      <w:r>
        <w:rPr>
          <w:color w:val="202428"/>
          <w:spacing w:val="8"/>
          <w:w w:val="110"/>
          <w:sz w:val="19"/>
        </w:rPr>
        <w:t> </w:t>
      </w:r>
      <w:r>
        <w:rPr>
          <w:color w:val="202428"/>
          <w:w w:val="110"/>
          <w:sz w:val="19"/>
        </w:rPr>
        <w:t>4º</w:t>
      </w:r>
      <w:r>
        <w:rPr>
          <w:color w:val="202428"/>
          <w:spacing w:val="5"/>
          <w:w w:val="110"/>
          <w:sz w:val="19"/>
        </w:rPr>
        <w:t> </w:t>
      </w:r>
      <w:r>
        <w:rPr>
          <w:color w:val="202428"/>
          <w:w w:val="110"/>
          <w:sz w:val="19"/>
        </w:rPr>
        <w:t>do</w:t>
      </w:r>
      <w:r>
        <w:rPr>
          <w:color w:val="202428"/>
          <w:spacing w:val="8"/>
          <w:w w:val="110"/>
          <w:sz w:val="19"/>
        </w:rPr>
        <w:t> </w:t>
      </w:r>
      <w:r>
        <w:rPr>
          <w:color w:val="202428"/>
          <w:w w:val="110"/>
          <w:sz w:val="19"/>
        </w:rPr>
        <w:t>mesmo</w:t>
      </w:r>
      <w:r>
        <w:rPr>
          <w:color w:val="202428"/>
          <w:spacing w:val="7"/>
          <w:w w:val="110"/>
          <w:sz w:val="19"/>
        </w:rPr>
        <w:t> </w:t>
      </w:r>
      <w:r>
        <w:rPr>
          <w:color w:val="202428"/>
          <w:w w:val="110"/>
          <w:sz w:val="19"/>
        </w:rPr>
        <w:t>artigo,</w:t>
      </w:r>
      <w:r>
        <w:rPr>
          <w:color w:val="202428"/>
          <w:spacing w:val="8"/>
          <w:w w:val="110"/>
          <w:sz w:val="19"/>
        </w:rPr>
        <w:t> </w:t>
      </w:r>
      <w:r>
        <w:rPr>
          <w:color w:val="202428"/>
          <w:w w:val="110"/>
          <w:sz w:val="19"/>
        </w:rPr>
        <w:t>todos</w:t>
      </w:r>
      <w:r>
        <w:rPr>
          <w:color w:val="202428"/>
          <w:spacing w:val="1"/>
          <w:w w:val="110"/>
          <w:sz w:val="19"/>
        </w:rPr>
        <w:t> </w:t>
      </w:r>
      <w:r>
        <w:rPr>
          <w:color w:val="202428"/>
          <w:w w:val="110"/>
          <w:sz w:val="19"/>
        </w:rPr>
        <w:t>da LRF.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  <w:r>
        <w:rPr/>
        <w:pict>
          <v:rect style="position:absolute;margin-left:42.904018pt;margin-top:14.377473pt;width:150.041848pt;height:.600167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22.354065pt;margin-top:14.377473pt;width:150.041848pt;height:.600167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01.804108pt;margin-top:14.377473pt;width:150.041848pt;height:.600167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20" w:h="16840"/>
          <w:pgMar w:top="320" w:bottom="280" w:left="460" w:right="480"/>
        </w:sectPr>
      </w:pPr>
    </w:p>
    <w:p>
      <w:pPr>
        <w:pStyle w:val="BodyText"/>
        <w:spacing w:line="343" w:lineRule="auto" w:before="23"/>
        <w:ind w:left="1040" w:right="31" w:hanging="325"/>
      </w:pPr>
      <w:r>
        <w:rPr>
          <w:color w:val="202428"/>
          <w:spacing w:val="-6"/>
          <w:w w:val="110"/>
        </w:rPr>
        <w:t>FERNANDO</w:t>
      </w:r>
      <w:r>
        <w:rPr>
          <w:color w:val="202428"/>
          <w:spacing w:val="-1"/>
          <w:w w:val="110"/>
        </w:rPr>
        <w:t> </w:t>
      </w:r>
      <w:r>
        <w:rPr>
          <w:color w:val="202428"/>
          <w:spacing w:val="-6"/>
          <w:w w:val="110"/>
        </w:rPr>
        <w:t>MATTES </w:t>
      </w:r>
      <w:r>
        <w:rPr>
          <w:color w:val="202428"/>
          <w:spacing w:val="-5"/>
          <w:w w:val="110"/>
        </w:rPr>
        <w:t>MACHRY</w:t>
      </w:r>
      <w:r>
        <w:rPr>
          <w:color w:val="202428"/>
          <w:spacing w:val="-45"/>
          <w:w w:val="110"/>
        </w:rPr>
        <w:t> </w:t>
      </w:r>
      <w:r>
        <w:rPr>
          <w:color w:val="202428"/>
          <w:spacing w:val="-4"/>
          <w:w w:val="110"/>
        </w:rPr>
        <w:t>PREFEITO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4"/>
          <w:w w:val="110"/>
        </w:rPr>
        <w:t>MUNICIPAL</w:t>
      </w:r>
    </w:p>
    <w:p>
      <w:pPr>
        <w:pStyle w:val="BodyText"/>
        <w:spacing w:line="343" w:lineRule="auto" w:before="23"/>
        <w:ind w:left="716" w:right="30" w:firstLine="138"/>
      </w:pPr>
      <w:r>
        <w:rPr/>
        <w:br w:type="column"/>
      </w:r>
      <w:r>
        <w:rPr>
          <w:color w:val="202428"/>
          <w:spacing w:val="-6"/>
          <w:w w:val="110"/>
        </w:rPr>
        <w:t>LUIS CARLOS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MALMANN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SECRETÁRIO</w:t>
      </w:r>
      <w:r>
        <w:rPr>
          <w:color w:val="202428"/>
          <w:spacing w:val="-2"/>
          <w:w w:val="110"/>
        </w:rPr>
        <w:t> </w:t>
      </w:r>
      <w:r>
        <w:rPr>
          <w:color w:val="202428"/>
          <w:spacing w:val="-6"/>
          <w:w w:val="110"/>
        </w:rPr>
        <w:t>DE </w:t>
      </w:r>
      <w:r>
        <w:rPr>
          <w:color w:val="202428"/>
          <w:spacing w:val="-5"/>
          <w:w w:val="110"/>
        </w:rPr>
        <w:t>FINANÇAS</w:t>
      </w:r>
    </w:p>
    <w:p>
      <w:pPr>
        <w:pStyle w:val="BodyText"/>
        <w:spacing w:before="23"/>
        <w:ind w:left="697" w:right="663"/>
        <w:jc w:val="center"/>
      </w:pPr>
      <w:r>
        <w:rPr/>
        <w:br w:type="column"/>
      </w:r>
      <w:r>
        <w:rPr>
          <w:color w:val="202428"/>
          <w:spacing w:val="-7"/>
          <w:w w:val="110"/>
        </w:rPr>
        <w:t>VIVIANE</w:t>
      </w:r>
      <w:r>
        <w:rPr>
          <w:color w:val="202428"/>
          <w:spacing w:val="-6"/>
          <w:w w:val="110"/>
        </w:rPr>
        <w:t> </w:t>
      </w:r>
      <w:r>
        <w:rPr>
          <w:color w:val="202428"/>
          <w:spacing w:val="-7"/>
          <w:w w:val="110"/>
        </w:rPr>
        <w:t>MARIA</w:t>
      </w:r>
      <w:r>
        <w:rPr>
          <w:color w:val="202428"/>
          <w:spacing w:val="-6"/>
          <w:w w:val="110"/>
        </w:rPr>
        <w:t> LUFT</w:t>
      </w:r>
    </w:p>
    <w:p>
      <w:pPr>
        <w:pStyle w:val="BodyText"/>
        <w:spacing w:before="94"/>
        <w:ind w:left="699" w:right="663"/>
        <w:jc w:val="center"/>
      </w:pPr>
      <w:r>
        <w:rPr>
          <w:color w:val="202428"/>
          <w:w w:val="110"/>
        </w:rPr>
        <w:t>Contadora</w:t>
      </w:r>
      <w:r>
        <w:rPr>
          <w:color w:val="202428"/>
          <w:spacing w:val="-5"/>
          <w:w w:val="110"/>
        </w:rPr>
        <w:t> </w:t>
      </w:r>
      <w:r>
        <w:rPr>
          <w:color w:val="202428"/>
          <w:w w:val="110"/>
        </w:rPr>
        <w:t>CRC/RS</w:t>
      </w:r>
      <w:r>
        <w:rPr>
          <w:color w:val="202428"/>
          <w:spacing w:val="-11"/>
          <w:w w:val="110"/>
        </w:rPr>
        <w:t> </w:t>
      </w:r>
      <w:r>
        <w:rPr>
          <w:color w:val="202428"/>
          <w:w w:val="110"/>
        </w:rPr>
        <w:t>070921/O-4</w:t>
      </w:r>
    </w:p>
    <w:p>
      <w:pPr>
        <w:spacing w:after="0"/>
        <w:jc w:val="center"/>
        <w:sectPr>
          <w:type w:val="continuous"/>
          <w:pgSz w:w="11920" w:h="16840"/>
          <w:pgMar w:top="320" w:bottom="280" w:left="460" w:right="480"/>
          <w:cols w:num="3" w:equalWidth="0">
            <w:col w:w="3140" w:space="539"/>
            <w:col w:w="2960" w:space="497"/>
            <w:col w:w="38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tabs>
          <w:tab w:pos="10012" w:val="left" w:leader="none"/>
        </w:tabs>
        <w:spacing w:before="71"/>
        <w:ind w:left="112" w:right="0" w:firstLine="0"/>
        <w:jc w:val="left"/>
        <w:rPr>
          <w:sz w:val="18"/>
        </w:rPr>
      </w:pPr>
      <w:r>
        <w:rPr>
          <w:spacing w:val="-7"/>
          <w:w w:val="105"/>
          <w:sz w:val="18"/>
        </w:rPr>
        <w:t>Usuário/Matrícula:</w:t>
      </w:r>
      <w:r>
        <w:rPr>
          <w:spacing w:val="4"/>
          <w:w w:val="105"/>
          <w:sz w:val="18"/>
        </w:rPr>
        <w:t> </w:t>
      </w:r>
      <w:r>
        <w:rPr>
          <w:spacing w:val="-7"/>
          <w:w w:val="105"/>
          <w:sz w:val="18"/>
        </w:rPr>
        <w:t>VIVIANE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MARIA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LUFT/616</w:t>
      </w:r>
      <w:r>
        <w:rPr>
          <w:spacing w:val="-12"/>
          <w:w w:val="105"/>
          <w:sz w:val="18"/>
        </w:rPr>
        <w:t> </w:t>
      </w:r>
      <w:r>
        <w:rPr>
          <w:spacing w:val="-7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Sistema</w:t>
      </w:r>
      <w:r>
        <w:rPr>
          <w:spacing w:val="-11"/>
          <w:w w:val="105"/>
          <w:sz w:val="18"/>
        </w:rPr>
        <w:t> </w:t>
      </w:r>
      <w:r>
        <w:rPr>
          <w:spacing w:val="-7"/>
          <w:w w:val="105"/>
          <w:sz w:val="18"/>
        </w:rPr>
        <w:t>PPA</w:t>
      </w:r>
      <w:r>
        <w:rPr>
          <w:spacing w:val="-17"/>
          <w:w w:val="105"/>
          <w:sz w:val="18"/>
        </w:rPr>
        <w:t> </w:t>
      </w:r>
      <w:r>
        <w:rPr>
          <w:spacing w:val="-7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Abase</w:t>
      </w:r>
      <w:r>
        <w:rPr>
          <w:spacing w:val="-11"/>
          <w:w w:val="105"/>
          <w:sz w:val="18"/>
        </w:rPr>
        <w:t> </w:t>
      </w:r>
      <w:r>
        <w:rPr>
          <w:spacing w:val="-7"/>
          <w:w w:val="105"/>
          <w:sz w:val="18"/>
        </w:rPr>
        <w:t>Sistemas</w:t>
      </w:r>
      <w:r>
        <w:rPr>
          <w:spacing w:val="-3"/>
          <w:w w:val="105"/>
          <w:sz w:val="18"/>
        </w:rPr>
        <w:t> </w:t>
      </w:r>
      <w:r>
        <w:rPr>
          <w:spacing w:val="-7"/>
          <w:w w:val="105"/>
          <w:sz w:val="18"/>
        </w:rPr>
        <w:t>e</w:t>
      </w:r>
      <w:r>
        <w:rPr>
          <w:spacing w:val="-11"/>
          <w:w w:val="105"/>
          <w:sz w:val="18"/>
        </w:rPr>
        <w:t> </w:t>
      </w:r>
      <w:r>
        <w:rPr>
          <w:spacing w:val="-7"/>
          <w:w w:val="105"/>
          <w:sz w:val="18"/>
        </w:rPr>
        <w:t>Soluções</w:t>
      </w:r>
      <w:r>
        <w:rPr>
          <w:spacing w:val="-2"/>
          <w:w w:val="105"/>
          <w:sz w:val="18"/>
        </w:rPr>
        <w:t> </w:t>
      </w:r>
      <w:r>
        <w:rPr>
          <w:spacing w:val="-6"/>
          <w:w w:val="105"/>
          <w:sz w:val="18"/>
        </w:rPr>
        <w:t>LTDA</w:t>
        <w:tab/>
        <w:t>Página</w:t>
      </w:r>
      <w:r>
        <w:rPr>
          <w:spacing w:val="-12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</w:p>
    <w:sectPr>
      <w:type w:val="continuous"/>
      <w:pgSz w:w="11920" w:h="16840"/>
      <w:pgMar w:top="320" w:bottom="280" w:left="46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Segoe UI">
    <w:altName w:val="Segoe U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110" w:hanging="93"/>
        <w:jc w:val="left"/>
      </w:pPr>
      <w:rPr>
        <w:rFonts w:hint="default" w:ascii="Arial Narrow" w:hAnsi="Arial Narrow" w:eastAsia="Arial Narrow" w:cs="Arial Narrow"/>
        <w:color w:val="202428"/>
        <w:w w:val="110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06" w:hanging="9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92" w:hanging="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78" w:hanging="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64" w:hanging="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50" w:hanging="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36" w:hanging="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22" w:hanging="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08" w:hanging="9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110" w:hanging="232"/>
        <w:jc w:val="left"/>
      </w:pPr>
      <w:rPr>
        <w:rFonts w:hint="default" w:ascii="Arial Narrow" w:hAnsi="Arial Narrow" w:eastAsia="Arial Narrow" w:cs="Arial Narrow"/>
        <w:color w:val="202428"/>
        <w:w w:val="110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06" w:hanging="2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92" w:hanging="2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78" w:hanging="2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64" w:hanging="2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50" w:hanging="2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36" w:hanging="2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22" w:hanging="2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08" w:hanging="232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19"/>
      <w:szCs w:val="19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538"/>
    </w:pPr>
    <w:rPr>
      <w:rFonts w:ascii="Segoe UI" w:hAnsi="Segoe UI" w:eastAsia="Segoe UI" w:cs="Segoe U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10" w:right="113"/>
    </w:pPr>
    <w:rPr>
      <w:rFonts w:ascii="Arial Narrow" w:hAnsi="Arial Narrow" w:eastAsia="Arial Narrow" w:cs="Arial Narrow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  <w:jc w:val="right"/>
    </w:pPr>
    <w:rPr>
      <w:rFonts w:ascii="Arial Narrow" w:hAnsi="Arial Narrow" w:eastAsia="Arial Narrow" w:cs="Arial Narro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Relatorio_62302aa9-b094-459c-9157-b89e53e285c6.pdf</dc:title>
  <dcterms:created xsi:type="dcterms:W3CDTF">2025-10-06T14:12:43Z</dcterms:created>
  <dcterms:modified xsi:type="dcterms:W3CDTF">2025-10-06T14:12:43Z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2025-07-29T00:00:00Z</vt:filetime>
  </property>
</Properties>
</file>