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3ac42e3b34dd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5003122b3eb4fe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000009/2024       </w:t>
      </w:r>
      <w:r>
        <w:rPr>
          <w:b/>
        </w:rPr>
        <w:t xml:space="preserve">Data Emissão: </w:t>
      </w:r>
      <w:r>
        <w:t xml:space="preserve"> 12/08/2024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ADMINISTRAÇÃO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realização de Cálculo Atuarial.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SER   00017992 CÁLCULO ATUARIAL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- Readequação do plano de amortização  da avaliação atuarial do RPPS de Roque Gonzales;</w:t>
            </w:r>
          </w:p>
          <w:p>
            <w:r>
              <w:rPr>
                <w:sz w:val="16"/>
              </w:rPr>
              <w:t xml:space="preserve">- Retificação do relatóri de Avaliação Atuarial com todos os resulados apurados , parecer e orientações do profissional atuário;</w:t>
            </w:r>
          </w:p>
          <w:p>
            <w:r>
              <w:rPr>
                <w:sz w:val="16"/>
              </w:rPr>
              <w:t xml:space="preserve">- Retificação do Demonstrativo dos Resultados da Avaliação Atuarial e envio das informações à Secretaria de Previdência Social- SPREV.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9b9fa159da4a77" /><Relationship Type="http://schemas.openxmlformats.org/officeDocument/2006/relationships/image" Target="/media/image.png" Id="R75003122b3eb4fe8" /></Relationships>
</file>