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4" w:rsidRDefault="001F0237" w:rsidP="005731A5">
      <w:pPr>
        <w:spacing w:after="60" w:line="240" w:lineRule="auto"/>
        <w:jc w:val="center"/>
        <w:outlineLvl w:val="1"/>
        <w:rPr>
          <w:rFonts w:eastAsia="Times New Roman"/>
          <w:b/>
          <w:sz w:val="24"/>
          <w:szCs w:val="24"/>
          <w:lang w:eastAsia="pt-BR"/>
        </w:rPr>
      </w:pPr>
      <w:bookmarkStart w:id="0" w:name="_Toc466274112"/>
      <w:r w:rsidRPr="00DC7E6B">
        <w:rPr>
          <w:rFonts w:eastAsia="Times New Roman"/>
          <w:b/>
          <w:sz w:val="24"/>
          <w:szCs w:val="24"/>
          <w:lang w:eastAsia="pt-BR"/>
        </w:rPr>
        <w:t>Notas Explicativas do Balanço Orçamentário</w:t>
      </w:r>
      <w:bookmarkEnd w:id="0"/>
      <w:r w:rsidR="00D64216">
        <w:rPr>
          <w:rFonts w:eastAsia="Times New Roman"/>
          <w:b/>
          <w:sz w:val="24"/>
          <w:szCs w:val="24"/>
          <w:lang w:eastAsia="pt-BR"/>
        </w:rPr>
        <w:t xml:space="preserve"> – </w:t>
      </w:r>
      <w:r w:rsidR="00452104">
        <w:rPr>
          <w:rFonts w:eastAsia="Times New Roman"/>
          <w:b/>
          <w:sz w:val="24"/>
          <w:szCs w:val="24"/>
          <w:lang w:eastAsia="pt-BR"/>
        </w:rPr>
        <w:t>Consolidado</w:t>
      </w:r>
      <w:r w:rsidR="005D7529">
        <w:rPr>
          <w:rFonts w:eastAsia="Times New Roman"/>
          <w:b/>
          <w:sz w:val="24"/>
          <w:szCs w:val="24"/>
          <w:lang w:eastAsia="pt-BR"/>
        </w:rPr>
        <w:t xml:space="preserve"> - 2025</w:t>
      </w: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b/>
          <w:lang w:eastAsia="pt-BR"/>
        </w:rPr>
      </w:pP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lang w:eastAsia="pt-BR"/>
        </w:rPr>
        <w:t xml:space="preserve"> Nota 1 - Contexto operacional: </w:t>
      </w:r>
      <w:r w:rsidRPr="00DC7E6B">
        <w:rPr>
          <w:rFonts w:eastAsia="Times New Roman" w:cs="Arial"/>
          <w:lang w:eastAsia="pt-BR"/>
        </w:rPr>
        <w:t xml:space="preserve">os dados apresentados compreendem os órgãos da </w:t>
      </w:r>
      <w:r>
        <w:rPr>
          <w:rFonts w:eastAsia="Times New Roman" w:cs="Arial"/>
          <w:spacing w:val="7"/>
          <w:lang w:eastAsia="pt-BR"/>
        </w:rPr>
        <w:t xml:space="preserve">Administração Direta </w:t>
      </w:r>
      <w:r w:rsidRPr="00DC7E6B">
        <w:rPr>
          <w:rFonts w:eastAsia="Times New Roman" w:cs="Arial"/>
          <w:spacing w:val="7"/>
          <w:lang w:eastAsia="pt-BR"/>
        </w:rPr>
        <w:t xml:space="preserve">do Município, no que tange à previsão e execução das receitas e despesas orçamentárias, cujo detalhamento atende as especificações da Portaria Interministerial STN/SOF </w:t>
      </w:r>
      <w:proofErr w:type="gramStart"/>
      <w:r w:rsidRPr="00DC7E6B">
        <w:rPr>
          <w:rFonts w:eastAsia="Times New Roman" w:cs="Arial"/>
          <w:spacing w:val="7"/>
          <w:lang w:eastAsia="pt-BR"/>
        </w:rPr>
        <w:t>n.º</w:t>
      </w:r>
      <w:proofErr w:type="gramEnd"/>
      <w:r w:rsidRPr="00DC7E6B">
        <w:rPr>
          <w:rFonts w:eastAsia="Times New Roman" w:cs="Arial"/>
          <w:spacing w:val="7"/>
          <w:lang w:eastAsia="pt-BR"/>
        </w:rPr>
        <w:t xml:space="preserve"> 163/2001 e </w:t>
      </w:r>
      <w:r w:rsidRPr="00DC7E6B">
        <w:rPr>
          <w:rFonts w:eastAsia="Times New Roman" w:cs="Arial"/>
          <w:lang w:eastAsia="pt-BR"/>
        </w:rPr>
        <w:t>respectivas alterações.  Foram também observados os detalhamentos estabelecidos pelo Tribunal de Contas do Estado.</w:t>
      </w: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b/>
          <w:lang w:eastAsia="pt-BR"/>
        </w:rPr>
      </w:pP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lang w:eastAsia="pt-BR"/>
        </w:rPr>
        <w:t xml:space="preserve">Nota 2 - Critério de apropriação: </w:t>
      </w:r>
      <w:r w:rsidRPr="00DC7E6B">
        <w:rPr>
          <w:rFonts w:eastAsia="Times New Roman" w:cs="Arial"/>
          <w:lang w:eastAsia="pt-BR"/>
        </w:rPr>
        <w:t xml:space="preserve">considerou como realizadas as despesas legalmente empenhadas e as receitas efetivamente arrecadadas no exercício, nos termos do art. 35 da Lei Federal nº 4.320/64. </w:t>
      </w:r>
    </w:p>
    <w:p w:rsidR="001F0237" w:rsidRPr="00DC7E6B" w:rsidRDefault="001F0237" w:rsidP="001F023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lang w:eastAsia="pt-BR"/>
        </w:rPr>
      </w:pPr>
    </w:p>
    <w:p w:rsidR="001F0237" w:rsidRPr="00DC7E6B" w:rsidRDefault="001F0237" w:rsidP="001F023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  <w:r w:rsidRPr="00DC7E6B">
        <w:rPr>
          <w:rFonts w:eastAsia="Times New Roman" w:cs="Arial"/>
          <w:b/>
          <w:lang w:eastAsia="pt-BR"/>
        </w:rPr>
        <w:t xml:space="preserve">Nota 3 - Operações </w:t>
      </w:r>
      <w:proofErr w:type="spellStart"/>
      <w:r w:rsidRPr="00DC7E6B">
        <w:rPr>
          <w:rFonts w:eastAsia="Times New Roman" w:cs="Arial"/>
          <w:b/>
          <w:lang w:eastAsia="pt-BR"/>
        </w:rPr>
        <w:t>Intraorçamentárias</w:t>
      </w:r>
      <w:proofErr w:type="spellEnd"/>
      <w:r w:rsidRPr="00DC7E6B">
        <w:rPr>
          <w:rFonts w:eastAsia="Times New Roman" w:cs="Arial"/>
          <w:b/>
          <w:lang w:eastAsia="pt-BR"/>
        </w:rPr>
        <w:t>:</w:t>
      </w:r>
      <w:r w:rsidRPr="00DC7E6B">
        <w:rPr>
          <w:rFonts w:eastAsia="Times New Roman" w:cs="Arial"/>
          <w:lang w:eastAsia="pt-BR"/>
        </w:rPr>
        <w:t xml:space="preserve"> de acordo com o Manual de Contabilidade Aplicada ao Setor Público</w:t>
      </w:r>
      <w:r w:rsidR="006E2CD3">
        <w:rPr>
          <w:rFonts w:eastAsia="Times New Roman" w:cs="Arial"/>
          <w:lang w:eastAsia="pt-BR"/>
        </w:rPr>
        <w:t xml:space="preserve"> (MCASP)</w:t>
      </w:r>
      <w:r w:rsidRPr="00DC7E6B">
        <w:rPr>
          <w:rFonts w:eastAsia="Times New Roman" w:cs="Arial"/>
          <w:lang w:eastAsia="pt-BR"/>
        </w:rPr>
        <w:t xml:space="preserve">, as operações </w:t>
      </w:r>
      <w:r w:rsidRPr="00DC7E6B">
        <w:rPr>
          <w:rFonts w:eastAsia="Times New Roman" w:cs="Arial"/>
        </w:rPr>
        <w:t xml:space="preserve">realizadas entre órgãos e demais entidades do próprio Município representam operações </w:t>
      </w:r>
      <w:proofErr w:type="spellStart"/>
      <w:r w:rsidRPr="00DC7E6B">
        <w:rPr>
          <w:rFonts w:eastAsia="Times New Roman" w:cs="Arial"/>
        </w:rPr>
        <w:t>intraorçamentárias</w:t>
      </w:r>
      <w:proofErr w:type="spellEnd"/>
      <w:r w:rsidRPr="00DC7E6B">
        <w:rPr>
          <w:rFonts w:eastAsia="Times New Roman" w:cs="Arial"/>
        </w:rPr>
        <w:t>. O quadro a seguir demonstra, resumidamente, sua execução durante o exercício financeiro:</w:t>
      </w:r>
    </w:p>
    <w:p w:rsidR="001F0237" w:rsidRPr="00DC7E6B" w:rsidRDefault="001F0237" w:rsidP="001F023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418"/>
        <w:gridCol w:w="1842"/>
        <w:gridCol w:w="1418"/>
        <w:gridCol w:w="1417"/>
        <w:gridCol w:w="1276"/>
      </w:tblGrid>
      <w:tr w:rsidR="001F0237" w:rsidRPr="00DC7E6B" w:rsidTr="004223BB">
        <w:tc>
          <w:tcPr>
            <w:tcW w:w="3261" w:type="dxa"/>
            <w:gridSpan w:val="2"/>
          </w:tcPr>
          <w:p w:rsidR="001F0237" w:rsidRPr="00DC7E6B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5953" w:type="dxa"/>
            <w:gridSpan w:val="4"/>
          </w:tcPr>
          <w:p w:rsidR="001F0237" w:rsidRPr="00DC7E6B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Despesas</w:t>
            </w:r>
          </w:p>
        </w:tc>
      </w:tr>
      <w:tr w:rsidR="001F0237" w:rsidRPr="0006665C" w:rsidTr="004223BB">
        <w:tc>
          <w:tcPr>
            <w:tcW w:w="1843" w:type="dxa"/>
          </w:tcPr>
          <w:p w:rsidR="001F0237" w:rsidRPr="0006665C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06665C">
              <w:rPr>
                <w:rFonts w:eastAsia="Times New Roman" w:cs="Arial"/>
                <w:b/>
                <w:sz w:val="18"/>
                <w:szCs w:val="18"/>
                <w:lang w:eastAsia="pt-BR"/>
              </w:rPr>
              <w:t>Natureza da Receita</w:t>
            </w:r>
          </w:p>
        </w:tc>
        <w:tc>
          <w:tcPr>
            <w:tcW w:w="1418" w:type="dxa"/>
          </w:tcPr>
          <w:p w:rsidR="001F0237" w:rsidRPr="0006665C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06665C">
              <w:rPr>
                <w:rFonts w:eastAsia="Times New Roman" w:cs="Arial"/>
                <w:b/>
                <w:sz w:val="18"/>
                <w:szCs w:val="18"/>
                <w:lang w:eastAsia="pt-BR"/>
              </w:rPr>
              <w:t>Valor arrecadado</w:t>
            </w:r>
          </w:p>
        </w:tc>
        <w:tc>
          <w:tcPr>
            <w:tcW w:w="1842" w:type="dxa"/>
          </w:tcPr>
          <w:p w:rsidR="001F0237" w:rsidRPr="0006665C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06665C">
              <w:rPr>
                <w:rFonts w:eastAsia="Times New Roman" w:cs="Arial"/>
                <w:b/>
                <w:sz w:val="18"/>
                <w:szCs w:val="18"/>
                <w:lang w:eastAsia="pt-BR"/>
              </w:rPr>
              <w:t>Natureza da Despesa</w:t>
            </w:r>
          </w:p>
        </w:tc>
        <w:tc>
          <w:tcPr>
            <w:tcW w:w="1418" w:type="dxa"/>
          </w:tcPr>
          <w:p w:rsidR="001F0237" w:rsidRPr="0006665C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06665C">
              <w:rPr>
                <w:rFonts w:eastAsia="Times New Roman" w:cs="Arial"/>
                <w:b/>
                <w:sz w:val="18"/>
                <w:szCs w:val="18"/>
                <w:lang w:eastAsia="pt-BR"/>
              </w:rPr>
              <w:t>Empenhado</w:t>
            </w:r>
          </w:p>
        </w:tc>
        <w:tc>
          <w:tcPr>
            <w:tcW w:w="1417" w:type="dxa"/>
          </w:tcPr>
          <w:p w:rsidR="001F0237" w:rsidRPr="0006665C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06665C">
              <w:rPr>
                <w:rFonts w:eastAsia="Times New Roman" w:cs="Arial"/>
                <w:b/>
                <w:sz w:val="18"/>
                <w:szCs w:val="18"/>
                <w:lang w:eastAsia="pt-BR"/>
              </w:rPr>
              <w:t>Liquidado</w:t>
            </w:r>
          </w:p>
        </w:tc>
        <w:tc>
          <w:tcPr>
            <w:tcW w:w="1276" w:type="dxa"/>
          </w:tcPr>
          <w:p w:rsidR="001F0237" w:rsidRPr="0006665C" w:rsidRDefault="001F0237" w:rsidP="0072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06665C">
              <w:rPr>
                <w:rFonts w:eastAsia="Times New Roman" w:cs="Arial"/>
                <w:b/>
                <w:sz w:val="18"/>
                <w:szCs w:val="18"/>
                <w:lang w:eastAsia="pt-BR"/>
              </w:rPr>
              <w:t>Pago</w:t>
            </w:r>
          </w:p>
        </w:tc>
      </w:tr>
      <w:tr w:rsidR="00F70A53" w:rsidRPr="00DC7E6B" w:rsidTr="004223BB">
        <w:tc>
          <w:tcPr>
            <w:tcW w:w="1843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 xml:space="preserve">7.0.0.0.00.00 – Receitas Correntes </w:t>
            </w:r>
            <w:proofErr w:type="spellStart"/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Intraorçamentárias</w:t>
            </w:r>
            <w:proofErr w:type="spellEnd"/>
          </w:p>
        </w:tc>
        <w:tc>
          <w:tcPr>
            <w:tcW w:w="1418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28.949.527,40</w:t>
            </w:r>
          </w:p>
        </w:tc>
        <w:tc>
          <w:tcPr>
            <w:tcW w:w="1842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 xml:space="preserve">3.0.91.00.00 – Despesas Correntes </w:t>
            </w:r>
            <w:proofErr w:type="spellStart"/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Intraorçamentárias</w:t>
            </w:r>
            <w:proofErr w:type="spellEnd"/>
          </w:p>
        </w:tc>
        <w:tc>
          <w:tcPr>
            <w:tcW w:w="1418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28.827.341,24</w:t>
            </w:r>
          </w:p>
        </w:tc>
        <w:tc>
          <w:tcPr>
            <w:tcW w:w="1417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28.827.341,24</w:t>
            </w:r>
          </w:p>
        </w:tc>
        <w:tc>
          <w:tcPr>
            <w:tcW w:w="1276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</w:p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28.827.341,24</w:t>
            </w:r>
          </w:p>
        </w:tc>
      </w:tr>
      <w:tr w:rsidR="00F70A53" w:rsidRPr="00DC7E6B" w:rsidTr="004223BB">
        <w:tc>
          <w:tcPr>
            <w:tcW w:w="1843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 xml:space="preserve">8.0.0.0.00.00 – Receitas de Capital </w:t>
            </w:r>
            <w:proofErr w:type="spellStart"/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Intraorçamentárias</w:t>
            </w:r>
            <w:proofErr w:type="spellEnd"/>
          </w:p>
        </w:tc>
        <w:tc>
          <w:tcPr>
            <w:tcW w:w="1418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842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 xml:space="preserve">4.0.91.00.00 – Despesas de Capital </w:t>
            </w:r>
            <w:proofErr w:type="spellStart"/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Intraorçamentárias</w:t>
            </w:r>
            <w:proofErr w:type="spellEnd"/>
          </w:p>
        </w:tc>
        <w:tc>
          <w:tcPr>
            <w:tcW w:w="1418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122.186,16</w:t>
            </w:r>
          </w:p>
        </w:tc>
        <w:tc>
          <w:tcPr>
            <w:tcW w:w="1417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122.186,16</w:t>
            </w:r>
          </w:p>
        </w:tc>
        <w:tc>
          <w:tcPr>
            <w:tcW w:w="1276" w:type="dxa"/>
          </w:tcPr>
          <w:p w:rsidR="00F70A53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122.186,16</w:t>
            </w:r>
          </w:p>
        </w:tc>
      </w:tr>
      <w:tr w:rsidR="00F70A53" w:rsidRPr="00DC7E6B" w:rsidTr="004223BB">
        <w:tc>
          <w:tcPr>
            <w:tcW w:w="1843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8" w:type="dxa"/>
          </w:tcPr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t-BR"/>
              </w:rPr>
              <w:t>28.949.527,40</w:t>
            </w:r>
          </w:p>
        </w:tc>
        <w:tc>
          <w:tcPr>
            <w:tcW w:w="1842" w:type="dxa"/>
          </w:tcPr>
          <w:p w:rsidR="00F70A53" w:rsidRPr="00DC7E6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8" w:type="dxa"/>
          </w:tcPr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t-BR"/>
              </w:rPr>
              <w:t>28.949.527,40</w:t>
            </w:r>
          </w:p>
        </w:tc>
        <w:tc>
          <w:tcPr>
            <w:tcW w:w="1417" w:type="dxa"/>
          </w:tcPr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t-BR"/>
              </w:rPr>
              <w:t>28.949.527,40</w:t>
            </w:r>
          </w:p>
        </w:tc>
        <w:tc>
          <w:tcPr>
            <w:tcW w:w="1276" w:type="dxa"/>
          </w:tcPr>
          <w:p w:rsidR="00F70A53" w:rsidRPr="004223BB" w:rsidRDefault="00F70A53" w:rsidP="00F7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pt-BR"/>
              </w:rPr>
              <w:t>28.949.527,40</w:t>
            </w:r>
          </w:p>
        </w:tc>
      </w:tr>
    </w:tbl>
    <w:p w:rsidR="001F0237" w:rsidRPr="00DC7E6B" w:rsidRDefault="001F0237" w:rsidP="001F023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t-BR"/>
        </w:rPr>
      </w:pPr>
    </w:p>
    <w:p w:rsidR="001F0237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lang w:eastAsia="pt-BR"/>
        </w:rPr>
        <w:t xml:space="preserve">Nota 4 - Deduções da Receita Orçamentária: </w:t>
      </w:r>
      <w:r>
        <w:rPr>
          <w:rFonts w:eastAsia="Times New Roman" w:cs="Arial"/>
          <w:lang w:eastAsia="pt-BR"/>
        </w:rPr>
        <w:t xml:space="preserve">o valor informado na coluna </w:t>
      </w:r>
      <w:r w:rsidRPr="00DC7E6B">
        <w:rPr>
          <w:rFonts w:eastAsia="Times New Roman" w:cs="Arial"/>
          <w:lang w:eastAsia="pt-BR"/>
        </w:rPr>
        <w:t>“Receitas Realizadas” apresenta a arrecadação líquida, ou seja, já consideradas as deduções da receita</w:t>
      </w:r>
      <w:r>
        <w:rPr>
          <w:rFonts w:eastAsia="Times New Roman" w:cs="Arial"/>
          <w:lang w:eastAsia="pt-BR"/>
        </w:rPr>
        <w:t xml:space="preserve"> que, no exercício totalizaram </w:t>
      </w:r>
      <w:r w:rsidRPr="00DC7E6B">
        <w:rPr>
          <w:rFonts w:eastAsia="Times New Roman" w:cs="Arial"/>
          <w:lang w:eastAsia="pt-BR"/>
        </w:rPr>
        <w:t>R$</w:t>
      </w:r>
      <w:r w:rsidR="00343F3A">
        <w:rPr>
          <w:rFonts w:eastAsia="Times New Roman" w:cs="Arial"/>
          <w:lang w:eastAsia="pt-BR"/>
        </w:rPr>
        <w:t xml:space="preserve"> </w:t>
      </w:r>
      <w:r w:rsidR="00F70A53">
        <w:rPr>
          <w:rFonts w:eastAsia="Times New Roman" w:cs="Arial"/>
          <w:lang w:eastAsia="pt-BR"/>
        </w:rPr>
        <w:t>21.187.494,31</w:t>
      </w:r>
      <w:r w:rsidRPr="00DC7E6B">
        <w:rPr>
          <w:rFonts w:eastAsia="Times New Roman" w:cs="Arial"/>
          <w:lang w:eastAsia="pt-BR"/>
        </w:rPr>
        <w:t>.  A pormenorização das deduções da receita é a seguinte:</w:t>
      </w: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5"/>
        <w:gridCol w:w="1819"/>
      </w:tblGrid>
      <w:tr w:rsidR="001F0237" w:rsidRPr="00DC7E6B" w:rsidTr="0077233A">
        <w:trPr>
          <w:trHeight w:val="332"/>
        </w:trPr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- Deduções de receita por renúncia  (art. 14 da LC nº 101/2000)</w:t>
            </w:r>
          </w:p>
        </w:tc>
        <w:tc>
          <w:tcPr>
            <w:tcW w:w="1873" w:type="dxa"/>
            <w:shd w:val="clear" w:color="auto" w:fill="auto"/>
          </w:tcPr>
          <w:p w:rsidR="001F0237" w:rsidRPr="00DC7E6B" w:rsidRDefault="00343F3A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</w:p>
        </w:tc>
      </w:tr>
      <w:tr w:rsidR="001F0237" w:rsidRPr="00DC7E6B" w:rsidTr="00720EB4"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- Deduções de receita por restituições</w:t>
            </w:r>
          </w:p>
        </w:tc>
        <w:tc>
          <w:tcPr>
            <w:tcW w:w="1873" w:type="dxa"/>
            <w:shd w:val="clear" w:color="auto" w:fill="auto"/>
          </w:tcPr>
          <w:p w:rsidR="001F0237" w:rsidRPr="00DC7E6B" w:rsidRDefault="00F70A53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220.072,47</w:t>
            </w:r>
          </w:p>
        </w:tc>
      </w:tr>
      <w:tr w:rsidR="001F0237" w:rsidRPr="00DC7E6B" w:rsidTr="00720EB4"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- Deduções de receita por descontos concedidos</w:t>
            </w:r>
          </w:p>
        </w:tc>
        <w:tc>
          <w:tcPr>
            <w:tcW w:w="1873" w:type="dxa"/>
            <w:shd w:val="clear" w:color="auto" w:fill="auto"/>
          </w:tcPr>
          <w:p w:rsidR="001F0237" w:rsidRPr="00DC7E6B" w:rsidRDefault="00F70A53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1.715.258,44</w:t>
            </w:r>
          </w:p>
        </w:tc>
      </w:tr>
      <w:tr w:rsidR="001F0237" w:rsidRPr="00DC7E6B" w:rsidTr="00720EB4"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- Deduções de receita por compensação</w:t>
            </w:r>
          </w:p>
        </w:tc>
        <w:tc>
          <w:tcPr>
            <w:tcW w:w="1873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</w:tr>
      <w:tr w:rsidR="001F0237" w:rsidRPr="00DC7E6B" w:rsidTr="00720EB4"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 xml:space="preserve">- Deduções de receita para formação do </w:t>
            </w:r>
            <w:proofErr w:type="spellStart"/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Fundeb</w:t>
            </w:r>
            <w:proofErr w:type="spellEnd"/>
          </w:p>
        </w:tc>
        <w:tc>
          <w:tcPr>
            <w:tcW w:w="1873" w:type="dxa"/>
            <w:shd w:val="clear" w:color="auto" w:fill="auto"/>
          </w:tcPr>
          <w:p w:rsidR="001F0237" w:rsidRPr="00DC7E6B" w:rsidRDefault="00F70A53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18.794.786,39</w:t>
            </w:r>
          </w:p>
        </w:tc>
      </w:tr>
      <w:tr w:rsidR="001F0237" w:rsidRPr="00DC7E6B" w:rsidTr="00720EB4"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- Deduções de receita por retificações</w:t>
            </w:r>
          </w:p>
        </w:tc>
        <w:tc>
          <w:tcPr>
            <w:tcW w:w="1873" w:type="dxa"/>
            <w:shd w:val="clear" w:color="auto" w:fill="auto"/>
          </w:tcPr>
          <w:p w:rsidR="001F0237" w:rsidRPr="00DC7E6B" w:rsidRDefault="00F70A53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129.990,15</w:t>
            </w:r>
          </w:p>
        </w:tc>
      </w:tr>
      <w:tr w:rsidR="001F0237" w:rsidRPr="00DC7E6B" w:rsidTr="00720EB4">
        <w:tc>
          <w:tcPr>
            <w:tcW w:w="7338" w:type="dxa"/>
            <w:shd w:val="clear" w:color="auto" w:fill="auto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- Outras Deduções de receita</w:t>
            </w:r>
          </w:p>
        </w:tc>
        <w:tc>
          <w:tcPr>
            <w:tcW w:w="1873" w:type="dxa"/>
            <w:shd w:val="clear" w:color="auto" w:fill="auto"/>
          </w:tcPr>
          <w:p w:rsidR="001F0237" w:rsidRPr="00DC7E6B" w:rsidRDefault="00F70A53" w:rsidP="00720EB4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327.386,86</w:t>
            </w:r>
          </w:p>
        </w:tc>
      </w:tr>
      <w:tr w:rsidR="001F0237" w:rsidRPr="0006665C" w:rsidTr="00720EB4">
        <w:tc>
          <w:tcPr>
            <w:tcW w:w="7338" w:type="dxa"/>
            <w:shd w:val="clear" w:color="auto" w:fill="auto"/>
          </w:tcPr>
          <w:p w:rsidR="001F0237" w:rsidRPr="0006665C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06665C">
              <w:rPr>
                <w:rFonts w:eastAsia="Times New Roman" w:cs="Arial"/>
                <w:b/>
                <w:sz w:val="20"/>
                <w:szCs w:val="20"/>
                <w:lang w:eastAsia="pt-BR"/>
              </w:rPr>
              <w:t>Total das Deduções da Receita Orçamentária</w:t>
            </w:r>
          </w:p>
        </w:tc>
        <w:tc>
          <w:tcPr>
            <w:tcW w:w="1873" w:type="dxa"/>
            <w:shd w:val="clear" w:color="auto" w:fill="auto"/>
          </w:tcPr>
          <w:p w:rsidR="001F0237" w:rsidRPr="0006665C" w:rsidRDefault="00F70A53" w:rsidP="00720EB4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21.187.494,31</w:t>
            </w:r>
          </w:p>
        </w:tc>
      </w:tr>
    </w:tbl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lang w:eastAsia="pt-BR"/>
        </w:rPr>
        <w:t xml:space="preserve"> Nota 5 - Repasses Concedidos: </w:t>
      </w:r>
      <w:r w:rsidRPr="00DC7E6B">
        <w:rPr>
          <w:rFonts w:eastAsia="Times New Roman" w:cs="Arial"/>
          <w:lang w:eastAsia="pt-BR"/>
        </w:rPr>
        <w:t xml:space="preserve">de acordo com </w:t>
      </w:r>
      <w:r w:rsidR="006E2CD3">
        <w:rPr>
          <w:rFonts w:eastAsia="Times New Roman" w:cs="Arial"/>
          <w:lang w:eastAsia="pt-BR"/>
        </w:rPr>
        <w:t>a</w:t>
      </w:r>
      <w:r w:rsidRPr="00DC7E6B">
        <w:rPr>
          <w:rFonts w:eastAsia="Times New Roman" w:cs="Arial"/>
          <w:lang w:eastAsia="pt-BR"/>
        </w:rPr>
        <w:t xml:space="preserve"> Portaria STN nº 339/2001, os repasses fi</w:t>
      </w:r>
      <w:r>
        <w:rPr>
          <w:rFonts w:eastAsia="Times New Roman" w:cs="Arial"/>
          <w:lang w:eastAsia="pt-BR"/>
        </w:rPr>
        <w:t xml:space="preserve">nanceiros pelo Poder Executivo </w:t>
      </w:r>
      <w:r w:rsidRPr="00DC7E6B">
        <w:rPr>
          <w:rFonts w:eastAsia="Times New Roman" w:cs="Arial"/>
          <w:lang w:eastAsia="pt-BR"/>
        </w:rPr>
        <w:t>ao Poder Legislativo, foram processados por meio de documentos próprios, sem a emissão de empenho, sendo que os registros contábeis das transferências financeiras concedidas e recebidas foram efetuados em contas contábeis específicas de resultado, que representem as variações passivas e ativas financeiras correspondentes, conforme o seguinte resumo:</w:t>
      </w: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01"/>
        <w:gridCol w:w="1785"/>
      </w:tblGrid>
      <w:tr w:rsidR="001F0237" w:rsidRPr="00DC7E6B" w:rsidTr="00AE1273">
        <w:tc>
          <w:tcPr>
            <w:tcW w:w="6601" w:type="dxa"/>
          </w:tcPr>
          <w:p w:rsidR="001F0237" w:rsidRPr="00DC7E6B" w:rsidRDefault="001F0237" w:rsidP="00720EB4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sz w:val="20"/>
                <w:szCs w:val="20"/>
                <w:lang w:eastAsia="pt-BR"/>
              </w:rPr>
              <w:t>Repasses concedidos ao Poder Legislativo</w:t>
            </w:r>
          </w:p>
        </w:tc>
        <w:tc>
          <w:tcPr>
            <w:tcW w:w="1785" w:type="dxa"/>
          </w:tcPr>
          <w:p w:rsidR="001F0237" w:rsidRPr="00DC7E6B" w:rsidRDefault="00AE1273" w:rsidP="00012D6E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7.999.981,41</w:t>
            </w:r>
          </w:p>
        </w:tc>
      </w:tr>
      <w:tr w:rsidR="00AE1273" w:rsidRPr="00DC7E6B" w:rsidTr="00AE1273">
        <w:tc>
          <w:tcPr>
            <w:tcW w:w="6601" w:type="dxa"/>
          </w:tcPr>
          <w:p w:rsidR="00AE1273" w:rsidRPr="00DC7E6B" w:rsidRDefault="00AE1273" w:rsidP="00AE1273">
            <w:pPr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Total dos repasses concedidos</w:t>
            </w:r>
          </w:p>
        </w:tc>
        <w:tc>
          <w:tcPr>
            <w:tcW w:w="1785" w:type="dxa"/>
          </w:tcPr>
          <w:p w:rsidR="00AE1273" w:rsidRPr="00DC7E6B" w:rsidRDefault="00AE1273" w:rsidP="00AE1273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7.999.981,41</w:t>
            </w:r>
          </w:p>
        </w:tc>
      </w:tr>
    </w:tbl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b/>
          <w:lang w:eastAsia="pt-BR"/>
        </w:rPr>
      </w:pPr>
    </w:p>
    <w:p w:rsidR="001F0237" w:rsidRPr="00DC7E6B" w:rsidRDefault="001F0237" w:rsidP="001F0237">
      <w:pPr>
        <w:tabs>
          <w:tab w:val="left" w:pos="1110"/>
        </w:tabs>
        <w:spacing w:after="0" w:line="240" w:lineRule="auto"/>
        <w:jc w:val="both"/>
        <w:rPr>
          <w:rFonts w:eastAsia="Times New Roman" w:cs="Arial"/>
          <w:lang w:eastAsia="pt-BR"/>
        </w:rPr>
      </w:pPr>
    </w:p>
    <w:p w:rsidR="001F0237" w:rsidRPr="001A619A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1A619A">
        <w:rPr>
          <w:rFonts w:eastAsia="Times New Roman" w:cs="Arial"/>
          <w:b/>
          <w:lang w:eastAsia="pt-BR"/>
        </w:rPr>
        <w:lastRenderedPageBreak/>
        <w:t xml:space="preserve">Nota 6 - Utilização do Superávit Financeiro: </w:t>
      </w:r>
      <w:r w:rsidRPr="001A619A">
        <w:rPr>
          <w:rFonts w:eastAsia="Times New Roman" w:cs="Arial"/>
          <w:lang w:eastAsia="pt-BR"/>
        </w:rPr>
        <w:t>o quadro a seguir demonstra o valor do Superávit Financeiro apurado no exercício anterior e a sua utilização, durante o exercício financeiro de 20</w:t>
      </w:r>
      <w:r w:rsidR="00012D6E" w:rsidRPr="001A619A">
        <w:rPr>
          <w:rFonts w:eastAsia="Times New Roman" w:cs="Arial"/>
          <w:lang w:eastAsia="pt-BR"/>
        </w:rPr>
        <w:t>2</w:t>
      </w:r>
      <w:r w:rsidR="00AE1273">
        <w:rPr>
          <w:rFonts w:eastAsia="Times New Roman" w:cs="Arial"/>
          <w:lang w:eastAsia="pt-BR"/>
        </w:rPr>
        <w:t>5</w:t>
      </w:r>
      <w:r w:rsidRPr="001A619A">
        <w:rPr>
          <w:rFonts w:eastAsia="Times New Roman" w:cs="Arial"/>
          <w:lang w:eastAsia="pt-BR"/>
        </w:rPr>
        <w:t xml:space="preserve"> como fonte de abertura para créditos adicionais. O total utilizado R$</w:t>
      </w:r>
      <w:r w:rsidR="00AE1273">
        <w:rPr>
          <w:rFonts w:eastAsia="Times New Roman" w:cs="Arial"/>
          <w:lang w:eastAsia="pt-BR"/>
        </w:rPr>
        <w:t xml:space="preserve"> 19.862.118,</w:t>
      </w:r>
      <w:proofErr w:type="gramStart"/>
      <w:r w:rsidR="00AE1273">
        <w:rPr>
          <w:rFonts w:eastAsia="Times New Roman" w:cs="Arial"/>
          <w:lang w:eastAsia="pt-BR"/>
        </w:rPr>
        <w:t>39</w:t>
      </w:r>
      <w:r w:rsidRPr="001A619A">
        <w:rPr>
          <w:rFonts w:eastAsia="Times New Roman" w:cs="Arial"/>
          <w:lang w:eastAsia="pt-BR"/>
        </w:rPr>
        <w:t xml:space="preserve"> </w:t>
      </w:r>
      <w:r w:rsidR="00996974">
        <w:rPr>
          <w:rFonts w:eastAsia="Times New Roman" w:cs="Arial"/>
          <w:lang w:eastAsia="pt-BR"/>
        </w:rPr>
        <w:t xml:space="preserve"> </w:t>
      </w:r>
      <w:r w:rsidRPr="001A619A">
        <w:rPr>
          <w:rFonts w:eastAsia="Times New Roman" w:cs="Arial"/>
          <w:lang w:eastAsia="pt-BR"/>
        </w:rPr>
        <w:t>contribuiu</w:t>
      </w:r>
      <w:proofErr w:type="gramEnd"/>
      <w:r w:rsidRPr="001A619A">
        <w:rPr>
          <w:rFonts w:eastAsia="Times New Roman" w:cs="Arial"/>
          <w:lang w:eastAsia="pt-BR"/>
        </w:rPr>
        <w:t xml:space="preserve"> para a diferença observada </w:t>
      </w:r>
      <w:r w:rsidRPr="001A619A">
        <w:rPr>
          <w:rFonts w:cs="MinionPro-Regular"/>
          <w:lang w:val="pt-PT" w:eastAsia="pt-PT"/>
        </w:rPr>
        <w:t>entre a previsão atualizada da receita e a dotação atualizada</w:t>
      </w:r>
      <w:r w:rsidR="00B06C9C" w:rsidRPr="001A619A">
        <w:rPr>
          <w:rFonts w:eastAsia="Times New Roman" w:cs="Arial"/>
          <w:lang w:eastAsia="pt-BR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8"/>
        <w:gridCol w:w="1683"/>
        <w:gridCol w:w="1785"/>
      </w:tblGrid>
      <w:tr w:rsidR="001F0237" w:rsidRPr="00DC7E6B" w:rsidTr="00B02FFC">
        <w:tc>
          <w:tcPr>
            <w:tcW w:w="4918" w:type="dxa"/>
          </w:tcPr>
          <w:p w:rsidR="001F0237" w:rsidRPr="00DC7E6B" w:rsidRDefault="001F0237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  <w:p w:rsidR="001F0237" w:rsidRPr="00DC7E6B" w:rsidRDefault="001F0237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  <w:p w:rsidR="001F0237" w:rsidRPr="00DC7E6B" w:rsidRDefault="001F0237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Fonte de Recursos</w:t>
            </w:r>
          </w:p>
        </w:tc>
        <w:tc>
          <w:tcPr>
            <w:tcW w:w="1683" w:type="dxa"/>
          </w:tcPr>
          <w:p w:rsidR="001F0237" w:rsidRDefault="001F0237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S</w:t>
            </w:r>
            <w:r w:rsidR="00422BF5">
              <w:rPr>
                <w:rFonts w:eastAsia="Times New Roman" w:cs="Arial"/>
                <w:b/>
                <w:sz w:val="20"/>
                <w:szCs w:val="20"/>
                <w:lang w:eastAsia="pt-BR"/>
              </w:rPr>
              <w:t>uperávit Financeiro apurado no final</w:t>
            </w:r>
          </w:p>
          <w:p w:rsidR="00422BF5" w:rsidRDefault="00422BF5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do</w:t>
            </w:r>
            <w:proofErr w:type="gramEnd"/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 xml:space="preserve"> exercício</w:t>
            </w:r>
          </w:p>
          <w:p w:rsidR="00422BF5" w:rsidRPr="00DC7E6B" w:rsidRDefault="00422BF5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anterior</w:t>
            </w:r>
          </w:p>
        </w:tc>
        <w:tc>
          <w:tcPr>
            <w:tcW w:w="1785" w:type="dxa"/>
          </w:tcPr>
          <w:p w:rsidR="001F0237" w:rsidRPr="00DC7E6B" w:rsidRDefault="001F0237" w:rsidP="00720EB4">
            <w:pPr>
              <w:tabs>
                <w:tab w:val="left" w:pos="111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DC7E6B">
              <w:rPr>
                <w:rFonts w:eastAsia="Times New Roman" w:cs="Arial"/>
                <w:b/>
                <w:sz w:val="20"/>
                <w:szCs w:val="20"/>
                <w:lang w:eastAsia="pt-BR"/>
              </w:rPr>
              <w:t>Valor utilizado como fonte de recursos para a abertura de crédito adicionais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0500 – Recursos não Vinculados de Impostos</w:t>
            </w:r>
          </w:p>
        </w:tc>
        <w:tc>
          <w:tcPr>
            <w:tcW w:w="1683" w:type="dxa"/>
          </w:tcPr>
          <w:p w:rsidR="00F628CB" w:rsidRPr="003A1FF8" w:rsidRDefault="00B722AC" w:rsidP="00B722AC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19.317.274,50</w:t>
            </w:r>
          </w:p>
        </w:tc>
        <w:tc>
          <w:tcPr>
            <w:tcW w:w="1785" w:type="dxa"/>
          </w:tcPr>
          <w:p w:rsidR="00960AB9" w:rsidRPr="003A1FF8" w:rsidRDefault="003615FD" w:rsidP="00960AB9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9.680.398,24</w:t>
            </w:r>
          </w:p>
        </w:tc>
      </w:tr>
      <w:tr w:rsidR="00F628CB" w:rsidRPr="00DC7E6B" w:rsidTr="00B02FFC">
        <w:tc>
          <w:tcPr>
            <w:tcW w:w="4918" w:type="dxa"/>
          </w:tcPr>
          <w:p w:rsidR="00F74AD8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0501 – Outros Recursos não Vinculados</w:t>
            </w:r>
          </w:p>
        </w:tc>
        <w:tc>
          <w:tcPr>
            <w:tcW w:w="1683" w:type="dxa"/>
          </w:tcPr>
          <w:p w:rsidR="00F628CB" w:rsidRPr="003A1FF8" w:rsidRDefault="00B722AC" w:rsidP="00B722AC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1.119.320,03</w:t>
            </w:r>
          </w:p>
        </w:tc>
        <w:tc>
          <w:tcPr>
            <w:tcW w:w="1785" w:type="dxa"/>
          </w:tcPr>
          <w:p w:rsidR="00F628CB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906,59</w:t>
            </w:r>
          </w:p>
        </w:tc>
      </w:tr>
      <w:tr w:rsidR="00B87A93" w:rsidRPr="00DC7E6B" w:rsidTr="00B02FFC">
        <w:tc>
          <w:tcPr>
            <w:tcW w:w="4918" w:type="dxa"/>
          </w:tcPr>
          <w:p w:rsidR="00B87A93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0540 – Transferências do FUNDEB – Impostos e Transferências de Impostos</w:t>
            </w:r>
          </w:p>
        </w:tc>
        <w:tc>
          <w:tcPr>
            <w:tcW w:w="1683" w:type="dxa"/>
          </w:tcPr>
          <w:p w:rsidR="00B87A93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1.055.446,98</w:t>
            </w:r>
          </w:p>
        </w:tc>
        <w:tc>
          <w:tcPr>
            <w:tcW w:w="1785" w:type="dxa"/>
          </w:tcPr>
          <w:p w:rsidR="00B87A9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1.051.589,53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0543 – Transferências do FUNDEB – Complementação da União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7.239,01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7.239,01</w:t>
            </w:r>
          </w:p>
        </w:tc>
      </w:tr>
      <w:tr w:rsidR="00F628CB" w:rsidRPr="00DC7E6B" w:rsidTr="00B02FFC">
        <w:tc>
          <w:tcPr>
            <w:tcW w:w="4918" w:type="dxa"/>
          </w:tcPr>
          <w:p w:rsidR="00F628CB" w:rsidRPr="003A1FF8" w:rsidRDefault="00F74AD8" w:rsidP="00960AB9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0550 – Transferência do Salário-Educação</w:t>
            </w:r>
          </w:p>
        </w:tc>
        <w:tc>
          <w:tcPr>
            <w:tcW w:w="1683" w:type="dxa"/>
          </w:tcPr>
          <w:p w:rsidR="00F628CB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674.993,32</w:t>
            </w:r>
          </w:p>
        </w:tc>
        <w:tc>
          <w:tcPr>
            <w:tcW w:w="1785" w:type="dxa"/>
          </w:tcPr>
          <w:p w:rsidR="00F628CB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674.993,32</w:t>
            </w:r>
          </w:p>
        </w:tc>
      </w:tr>
      <w:tr w:rsidR="00B87A93" w:rsidRPr="00DC7E6B" w:rsidTr="00B02FFC">
        <w:tc>
          <w:tcPr>
            <w:tcW w:w="4918" w:type="dxa"/>
          </w:tcPr>
          <w:p w:rsidR="00B87A93" w:rsidRPr="003A1FF8" w:rsidRDefault="00F74AD8" w:rsidP="00960AB9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0552 – Transferências de Recursos do FNDE referente ao Programa Nacional de Alimentação</w:t>
            </w:r>
          </w:p>
        </w:tc>
        <w:tc>
          <w:tcPr>
            <w:tcW w:w="1683" w:type="dxa"/>
          </w:tcPr>
          <w:p w:rsidR="00B87A9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43.325,59</w:t>
            </w:r>
          </w:p>
        </w:tc>
        <w:tc>
          <w:tcPr>
            <w:tcW w:w="1785" w:type="dxa"/>
          </w:tcPr>
          <w:p w:rsidR="00B87A9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0553 – Transferências de Recursos do FNDE referentes ao Programa Nacional de Apoio</w:t>
            </w:r>
          </w:p>
        </w:tc>
        <w:tc>
          <w:tcPr>
            <w:tcW w:w="1683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1.011,36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543FE6" w:rsidRPr="00DC7E6B" w:rsidTr="00B02FFC">
        <w:tc>
          <w:tcPr>
            <w:tcW w:w="4918" w:type="dxa"/>
          </w:tcPr>
          <w:p w:rsidR="00543FE6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0569 – Outras Transferências de Recursos do FNDE</w:t>
            </w:r>
          </w:p>
        </w:tc>
        <w:tc>
          <w:tcPr>
            <w:tcW w:w="1683" w:type="dxa"/>
          </w:tcPr>
          <w:p w:rsidR="00543FE6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177.660,67</w:t>
            </w:r>
          </w:p>
        </w:tc>
        <w:tc>
          <w:tcPr>
            <w:tcW w:w="1785" w:type="dxa"/>
          </w:tcPr>
          <w:p w:rsidR="00543FE6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190.024,81</w:t>
            </w:r>
          </w:p>
        </w:tc>
      </w:tr>
      <w:tr w:rsidR="003615FD" w:rsidRPr="00DC7E6B" w:rsidTr="00B02FFC">
        <w:tc>
          <w:tcPr>
            <w:tcW w:w="4918" w:type="dxa"/>
          </w:tcPr>
          <w:p w:rsidR="003615FD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0571</w:t>
            </w:r>
            <w:r w:rsidR="00F60A77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</w:t>
            </w:r>
            <w:r w:rsidR="00F60A77" w:rsidRPr="00F60A77">
              <w:rPr>
                <w:rFonts w:cs="Calibri"/>
                <w:sz w:val="20"/>
                <w:szCs w:val="20"/>
              </w:rPr>
              <w:t>Transferências do Estado referentes a Convênios e Instrumentos Congêneres vinculados à Educação</w:t>
            </w:r>
            <w:bookmarkStart w:id="1" w:name="_GoBack"/>
            <w:bookmarkEnd w:id="1"/>
          </w:p>
        </w:tc>
        <w:tc>
          <w:tcPr>
            <w:tcW w:w="1683" w:type="dxa"/>
          </w:tcPr>
          <w:p w:rsidR="003615FD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785" w:type="dxa"/>
          </w:tcPr>
          <w:p w:rsidR="003615FD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55.946,01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0576 – Transferências de Recurso do Estados para </w:t>
            </w:r>
            <w:proofErr w:type="spellStart"/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Progra</w:t>
            </w:r>
            <w:proofErr w:type="spellEnd"/>
          </w:p>
        </w:tc>
        <w:tc>
          <w:tcPr>
            <w:tcW w:w="1683" w:type="dxa"/>
          </w:tcPr>
          <w:p w:rsidR="001F0237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55.964,01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0599 – Outros Recursos Vinculados a Educação</w:t>
            </w:r>
          </w:p>
        </w:tc>
        <w:tc>
          <w:tcPr>
            <w:tcW w:w="1683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59.733,58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59.733,58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E72515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0600 – Transferências Fundo a Fundo de Recursos do SUS provenientes do Governo Federal</w:t>
            </w:r>
          </w:p>
        </w:tc>
        <w:tc>
          <w:tcPr>
            <w:tcW w:w="1683" w:type="dxa"/>
          </w:tcPr>
          <w:p w:rsidR="001F0237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2.100.760,89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2.100.760,89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F74AD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0601 – Transferências Fundo a Fundo de Recursos do SUS provenientes do Governo Federal - Bloco de Estruturação da Rede de Serviços Públicos de Saúde</w:t>
            </w:r>
          </w:p>
        </w:tc>
        <w:tc>
          <w:tcPr>
            <w:tcW w:w="1683" w:type="dxa"/>
          </w:tcPr>
          <w:p w:rsidR="001F0237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682.765,25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682.765,25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74AD8" w:rsidP="00F74AD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0602 – Transferências Fundo a Fundo de Recursos do SUS provenientes do Governo Federal - Bloco de Manutenção das Ações e Serviços Públicos de Saúde – Recursos destinados ao enfrentamento da COVID-19 no bojo da ação 21C0.</w:t>
            </w:r>
          </w:p>
        </w:tc>
        <w:tc>
          <w:tcPr>
            <w:tcW w:w="1683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58,62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3A1FF8" w:rsidP="00F74AD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0604 - Transferências provenientes do Governo Federal destinadas ao vencimento dos agentes comunitários de saúde e dos agentes de combate às Endemias (Incluído pela Portaria nº 1.445, de 14/6/2022) e (Incluído pela Portaria nº 1.566, de 31/8/2022, aplicando-se o efeito a partir do exercício de 2022).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934.008,00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934.066,62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3A1FF8" w:rsidP="00F74AD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0605 - Assistência financeira da União destinada à complementação ao pagamento dos pisos salariais para profissionais da enfermagem. (Incluído pela Portaria nº 688, de 6/7/2023, aplicando-se o efeito a partir do exercício de 2023).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64.927,10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64.927,10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0621 – </w:t>
            </w:r>
            <w:r w:rsidR="00F74AD8" w:rsidRPr="003A1FF8">
              <w:rPr>
                <w:rFonts w:asciiTheme="minorHAnsi" w:hAnsiTheme="minorHAnsi" w:cstheme="minorHAnsi"/>
                <w:sz w:val="20"/>
                <w:szCs w:val="20"/>
              </w:rPr>
              <w:t>Transferências Fundo a Fundo de Recursos do SUS provenientes do Governo Estadual</w:t>
            </w:r>
          </w:p>
        </w:tc>
        <w:tc>
          <w:tcPr>
            <w:tcW w:w="1683" w:type="dxa"/>
          </w:tcPr>
          <w:p w:rsidR="00B51A40" w:rsidRPr="003A1FF8" w:rsidRDefault="00B722AC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853.328,45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853.328,45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0659 – </w:t>
            </w:r>
            <w:r w:rsidR="00F74AD8" w:rsidRPr="003A1FF8">
              <w:rPr>
                <w:rFonts w:asciiTheme="minorHAnsi" w:hAnsiTheme="minorHAnsi" w:cstheme="minorHAnsi"/>
                <w:sz w:val="20"/>
                <w:szCs w:val="20"/>
              </w:rPr>
              <w:t>Outros Recursos Vinculados à Saúde</w:t>
            </w:r>
          </w:p>
        </w:tc>
        <w:tc>
          <w:tcPr>
            <w:tcW w:w="1683" w:type="dxa"/>
          </w:tcPr>
          <w:p w:rsidR="001F0237" w:rsidRPr="003A1FF8" w:rsidRDefault="003615FD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11.200,48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11.200,48</w:t>
            </w:r>
          </w:p>
        </w:tc>
      </w:tr>
      <w:tr w:rsidR="00F628CB" w:rsidRPr="00DC7E6B" w:rsidTr="00B02FFC">
        <w:tc>
          <w:tcPr>
            <w:tcW w:w="4918" w:type="dxa"/>
          </w:tcPr>
          <w:p w:rsidR="00F628CB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0660 – Transferência de Recursos do Fundo Nacional de Assistência Social – FNAS</w:t>
            </w:r>
          </w:p>
        </w:tc>
        <w:tc>
          <w:tcPr>
            <w:tcW w:w="1683" w:type="dxa"/>
          </w:tcPr>
          <w:p w:rsidR="00F628CB" w:rsidRPr="003A1FF8" w:rsidRDefault="00B722AC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516.581,71</w:t>
            </w:r>
          </w:p>
        </w:tc>
        <w:tc>
          <w:tcPr>
            <w:tcW w:w="1785" w:type="dxa"/>
          </w:tcPr>
          <w:p w:rsidR="00F628CB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257.532,31</w:t>
            </w:r>
          </w:p>
        </w:tc>
      </w:tr>
      <w:tr w:rsidR="00F628CB" w:rsidRPr="00DC7E6B" w:rsidTr="00B02FFC">
        <w:tc>
          <w:tcPr>
            <w:tcW w:w="4918" w:type="dxa"/>
          </w:tcPr>
          <w:p w:rsidR="00F628CB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0661 – Transferência de Recursos dos Fundos Estaduais de Assistência Social</w:t>
            </w:r>
          </w:p>
        </w:tc>
        <w:tc>
          <w:tcPr>
            <w:tcW w:w="1683" w:type="dxa"/>
          </w:tcPr>
          <w:p w:rsidR="00F628CB" w:rsidRPr="003A1FF8" w:rsidRDefault="00B722AC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138.550,46</w:t>
            </w:r>
          </w:p>
        </w:tc>
        <w:tc>
          <w:tcPr>
            <w:tcW w:w="1785" w:type="dxa"/>
          </w:tcPr>
          <w:p w:rsidR="00F628CB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75.635,88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0669 – </w:t>
            </w:r>
            <w:r w:rsidR="00FA6F4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Outros Recursos Vinculados à Assistência Social</w:t>
            </w:r>
          </w:p>
        </w:tc>
        <w:tc>
          <w:tcPr>
            <w:tcW w:w="1683" w:type="dxa"/>
          </w:tcPr>
          <w:p w:rsidR="001F0237" w:rsidRPr="003A1FF8" w:rsidRDefault="00B722AC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256.989,76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918.660,14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0700 – Outras Transferências de Convênios ou Instrumentos Congêneres da União</w:t>
            </w:r>
          </w:p>
        </w:tc>
        <w:tc>
          <w:tcPr>
            <w:tcW w:w="1683" w:type="dxa"/>
          </w:tcPr>
          <w:p w:rsidR="001F0237" w:rsidRPr="003A1FF8" w:rsidRDefault="00B722AC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1.033.997,14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58.198,24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997D40" w:rsidP="00997D4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0701 – Outras Transferências de Convênios ou Instrumentos Congêneres dos Estados</w:t>
            </w:r>
          </w:p>
        </w:tc>
        <w:tc>
          <w:tcPr>
            <w:tcW w:w="1683" w:type="dxa"/>
          </w:tcPr>
          <w:p w:rsidR="001F0237" w:rsidRPr="003A1FF8" w:rsidRDefault="00B722AC" w:rsidP="00FA6F4D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405.226,53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243.662,84</w:t>
            </w:r>
          </w:p>
        </w:tc>
      </w:tr>
      <w:tr w:rsidR="00E548C3" w:rsidRPr="00DC7E6B" w:rsidTr="00B02FFC">
        <w:tc>
          <w:tcPr>
            <w:tcW w:w="4918" w:type="dxa"/>
          </w:tcPr>
          <w:p w:rsidR="003A1FF8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0706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Transferência Especial da União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950.962,76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265.000,00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0708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FA6F4D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–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Transferência da União Referente à Compensação Financeira de Recursos Minerais (Incluído pela Portaria nº 925, de 8/7/2021)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118.114,38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0709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-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Transferência da União referente à Compensação Financeira de Recursos Hídricos (Incluído pela Portaria nº 925, de 8/7/2021)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59.979,18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0711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-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Demais Transferências Obrigatórias não Decorrentes de Repartições de Receitas (Incluído pela Portaria nº 1.141, de 11/11/2021).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1.948.775,70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0715</w:t>
            </w:r>
            <w:r w:rsid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Transferências Destinadas ao Setor Cultural - LC nº 195/2022 – Art. 5º - Audiovisual (Incluído pela Portaria nº 1.566, de 31/8/2022, aplicando-se o efeito a partir do exercício de 2022). 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23.250,06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23.250,06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0716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–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Transferências Destinadas ao Setor cultural - LC nº 195/2022 – Art. 8º - Demais Setores da Cultura (Incluído pela Portaria nº 1.566, de 31/8/2022, aplicando</w:t>
            </w:r>
            <w:r w:rsidR="00B51A4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se o efeito a partir do exercício de 2022).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6.719,74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6.719,74</w:t>
            </w:r>
          </w:p>
        </w:tc>
      </w:tr>
      <w:tr w:rsidR="003615FD" w:rsidRPr="00DC7E6B" w:rsidTr="00B02FFC">
        <w:tc>
          <w:tcPr>
            <w:tcW w:w="4918" w:type="dxa"/>
          </w:tcPr>
          <w:p w:rsidR="003615FD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0719</w:t>
            </w:r>
            <w:r w:rsidR="00FB7327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Transferências da Política </w:t>
            </w:r>
            <w:proofErr w:type="spellStart"/>
            <w:r w:rsidR="00FB7327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Naconal</w:t>
            </w:r>
            <w:proofErr w:type="spellEnd"/>
            <w:r w:rsidR="00FB7327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Aldir Blanc de Fomento à Cultura – Lei nº 14.399/2022</w:t>
            </w:r>
          </w:p>
        </w:tc>
        <w:tc>
          <w:tcPr>
            <w:tcW w:w="1683" w:type="dxa"/>
          </w:tcPr>
          <w:p w:rsidR="003615FD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5.927,32</w:t>
            </w:r>
          </w:p>
        </w:tc>
        <w:tc>
          <w:tcPr>
            <w:tcW w:w="1785" w:type="dxa"/>
          </w:tcPr>
          <w:p w:rsidR="003615FD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0720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Transferências da União Referentes às participações na exploração de Petróleo e Gás Natural destinadas ao FEP - Lei 9.478/1997. (Incluído pela Portaria nº 688, de 6/7/2023, aplicando-se o efeito a partir de 2024), (Excluído pela Portaria nº 1.561, de 8/12/2023, para o exercício de 2024) e (Revogado a exclusão pela Portaria nº 1.593, de 15/12/2023).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447.074,52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200.000,00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0721</w:t>
            </w:r>
            <w:r w:rsidR="003A1FF8" w:rsidRPr="003A1FF8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</w:t>
            </w:r>
            <w:r w:rsidR="003A1FF8" w:rsidRPr="003A1FF8">
              <w:rPr>
                <w:rFonts w:asciiTheme="minorHAnsi" w:hAnsiTheme="minorHAnsi" w:cstheme="minorHAnsi"/>
                <w:sz w:val="20"/>
                <w:szCs w:val="20"/>
              </w:rPr>
              <w:t>Transferências da União Referentes a Cessão Onerosa de Petróleo – Lei nº 13.885/2019 (Incluído pela Portaria nº 688, de 6/7/2023, aplicando-se o efeito a partir de 2024), (Excluído pela Portaria nº 1.561, de 8/12/2023, para o exercício de 2024) e (Revogado a exclusão pela Portaria nº 1.593, de 15/12/2023).</w:t>
            </w:r>
          </w:p>
        </w:tc>
        <w:tc>
          <w:tcPr>
            <w:tcW w:w="1683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119.172,65</w:t>
            </w:r>
          </w:p>
        </w:tc>
        <w:tc>
          <w:tcPr>
            <w:tcW w:w="1785" w:type="dxa"/>
          </w:tcPr>
          <w:p w:rsidR="00E548C3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3615FD" w:rsidRPr="00DC7E6B" w:rsidTr="00B02FFC">
        <w:tc>
          <w:tcPr>
            <w:tcW w:w="4918" w:type="dxa"/>
          </w:tcPr>
          <w:p w:rsidR="003615FD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0749</w:t>
            </w:r>
            <w:r w:rsidR="00FB7327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– Outras Vinculações de Transferências</w:t>
            </w:r>
          </w:p>
        </w:tc>
        <w:tc>
          <w:tcPr>
            <w:tcW w:w="1683" w:type="dxa"/>
          </w:tcPr>
          <w:p w:rsidR="003615FD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179.099,60</w:t>
            </w:r>
          </w:p>
        </w:tc>
        <w:tc>
          <w:tcPr>
            <w:tcW w:w="1785" w:type="dxa"/>
          </w:tcPr>
          <w:p w:rsidR="003615FD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680.479,04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0750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Recursos da Contribuição de Intervenção no Domínio Econômico </w:t>
            </w: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 CIDE</w:t>
            </w:r>
          </w:p>
        </w:tc>
        <w:tc>
          <w:tcPr>
            <w:tcW w:w="1683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244.654,40</w:t>
            </w:r>
          </w:p>
        </w:tc>
        <w:tc>
          <w:tcPr>
            <w:tcW w:w="1785" w:type="dxa"/>
          </w:tcPr>
          <w:p w:rsidR="001F0237" w:rsidRPr="003A1FF8" w:rsidRDefault="001F0237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0751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Recursos da Contribuição para o Custeio do Serviço de Iluminação Pública </w:t>
            </w: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 COSIP</w:t>
            </w:r>
          </w:p>
        </w:tc>
        <w:tc>
          <w:tcPr>
            <w:tcW w:w="1683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456.272,17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CA4DCF" w:rsidRPr="00DC7E6B" w:rsidTr="00B02FFC">
        <w:tc>
          <w:tcPr>
            <w:tcW w:w="4918" w:type="dxa"/>
          </w:tcPr>
          <w:p w:rsidR="00CA4DCF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0752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Recursos Vinculados ao Trânsito</w:t>
            </w:r>
          </w:p>
        </w:tc>
        <w:tc>
          <w:tcPr>
            <w:tcW w:w="1683" w:type="dxa"/>
          </w:tcPr>
          <w:p w:rsidR="00CA4DCF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121.225,56</w:t>
            </w:r>
          </w:p>
        </w:tc>
        <w:tc>
          <w:tcPr>
            <w:tcW w:w="1785" w:type="dxa"/>
          </w:tcPr>
          <w:p w:rsidR="00CA4DCF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121.225,66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0753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 Recursos Provenientes de Taxas, Contribuições e Preços Públicos</w:t>
            </w:r>
          </w:p>
        </w:tc>
        <w:tc>
          <w:tcPr>
            <w:tcW w:w="1683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28.312,22</w:t>
            </w:r>
          </w:p>
        </w:tc>
        <w:tc>
          <w:tcPr>
            <w:tcW w:w="1785" w:type="dxa"/>
          </w:tcPr>
          <w:p w:rsidR="001F0237" w:rsidRPr="003A1FF8" w:rsidRDefault="003615FD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28.312,22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0755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Recursos de Alienação de Bens/Ativos - Administração Direta</w:t>
            </w:r>
          </w:p>
        </w:tc>
        <w:tc>
          <w:tcPr>
            <w:tcW w:w="1683" w:type="dxa"/>
          </w:tcPr>
          <w:p w:rsidR="001F0237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132.323,11</w:t>
            </w:r>
          </w:p>
        </w:tc>
        <w:tc>
          <w:tcPr>
            <w:tcW w:w="1785" w:type="dxa"/>
          </w:tcPr>
          <w:p w:rsidR="001F0237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142.317,96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0759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Recursos Vinculados a Fundos</w:t>
            </w:r>
          </w:p>
        </w:tc>
        <w:tc>
          <w:tcPr>
            <w:tcW w:w="1683" w:type="dxa"/>
          </w:tcPr>
          <w:p w:rsidR="001F0237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1.591.395,33</w:t>
            </w:r>
          </w:p>
        </w:tc>
        <w:tc>
          <w:tcPr>
            <w:tcW w:w="1785" w:type="dxa"/>
          </w:tcPr>
          <w:p w:rsidR="001F0237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447.044,42</w:t>
            </w:r>
          </w:p>
        </w:tc>
      </w:tr>
      <w:tr w:rsidR="003F0DE4" w:rsidRPr="00DC7E6B" w:rsidTr="00B02FFC">
        <w:tc>
          <w:tcPr>
            <w:tcW w:w="4918" w:type="dxa"/>
          </w:tcPr>
          <w:p w:rsidR="003F0DE4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0799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Outras Vinculações Legais</w:t>
            </w:r>
          </w:p>
        </w:tc>
        <w:tc>
          <w:tcPr>
            <w:tcW w:w="1683" w:type="dxa"/>
          </w:tcPr>
          <w:p w:rsidR="003F0DE4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35.452,05</w:t>
            </w:r>
          </w:p>
        </w:tc>
        <w:tc>
          <w:tcPr>
            <w:tcW w:w="1785" w:type="dxa"/>
          </w:tcPr>
          <w:p w:rsidR="003F0DE4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26.200,00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0800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Recursos Vinculados ao RPPS - Fundo em Capitalização (Plano Previdenciário)</w:t>
            </w:r>
          </w:p>
        </w:tc>
        <w:tc>
          <w:tcPr>
            <w:tcW w:w="1683" w:type="dxa"/>
          </w:tcPr>
          <w:p w:rsidR="001F0237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121.530.832,77</w:t>
            </w:r>
          </w:p>
        </w:tc>
        <w:tc>
          <w:tcPr>
            <w:tcW w:w="1785" w:type="dxa"/>
          </w:tcPr>
          <w:p w:rsidR="001F0237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E548C3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0802</w:t>
            </w:r>
            <w:r w:rsidR="00B51A40">
              <w:rPr>
                <w:rFonts w:asciiTheme="minorHAnsi" w:hAnsiTheme="minorHAnsi" w:cstheme="minorHAnsi"/>
                <w:sz w:val="20"/>
                <w:szCs w:val="20"/>
              </w:rPr>
              <w:t xml:space="preserve"> – Recursos Vinculados ao RPPS – Taxa de Administração</w:t>
            </w:r>
          </w:p>
        </w:tc>
        <w:tc>
          <w:tcPr>
            <w:tcW w:w="1683" w:type="dxa"/>
          </w:tcPr>
          <w:p w:rsidR="00E548C3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1.392.992,83</w:t>
            </w:r>
          </w:p>
        </w:tc>
        <w:tc>
          <w:tcPr>
            <w:tcW w:w="1785" w:type="dxa"/>
          </w:tcPr>
          <w:p w:rsidR="00E548C3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E548C3" w:rsidRPr="00DC7E6B" w:rsidTr="00B02FFC">
        <w:tc>
          <w:tcPr>
            <w:tcW w:w="4918" w:type="dxa"/>
          </w:tcPr>
          <w:p w:rsidR="00E548C3" w:rsidRPr="003A1FF8" w:rsidRDefault="003A1FF8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>0862 – Recursos de Depósitos de Terceiros</w:t>
            </w:r>
          </w:p>
        </w:tc>
        <w:tc>
          <w:tcPr>
            <w:tcW w:w="1683" w:type="dxa"/>
          </w:tcPr>
          <w:p w:rsidR="00E548C3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959,02</w:t>
            </w:r>
          </w:p>
        </w:tc>
        <w:tc>
          <w:tcPr>
            <w:tcW w:w="1785" w:type="dxa"/>
          </w:tcPr>
          <w:p w:rsidR="00E548C3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0869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Outros Recursos </w:t>
            </w:r>
            <w:proofErr w:type="spellStart"/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Extraorçamentários</w:t>
            </w:r>
            <w:proofErr w:type="spellEnd"/>
          </w:p>
        </w:tc>
        <w:tc>
          <w:tcPr>
            <w:tcW w:w="1683" w:type="dxa"/>
          </w:tcPr>
          <w:p w:rsidR="001F0237" w:rsidRPr="003A1FF8" w:rsidRDefault="00B722AC" w:rsidP="00966B3A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713.524,30</w:t>
            </w:r>
          </w:p>
        </w:tc>
        <w:tc>
          <w:tcPr>
            <w:tcW w:w="1785" w:type="dxa"/>
          </w:tcPr>
          <w:p w:rsidR="001F0237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FB5F14" w:rsidP="00FB5F1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A1FF8">
              <w:rPr>
                <w:rFonts w:asciiTheme="minorHAnsi" w:hAnsiTheme="minorHAnsi" w:cstheme="minorHAnsi"/>
                <w:sz w:val="20"/>
                <w:szCs w:val="20"/>
              </w:rPr>
              <w:t xml:space="preserve">0899 – </w:t>
            </w:r>
            <w:r w:rsidR="00997D40" w:rsidRPr="003A1FF8">
              <w:rPr>
                <w:rFonts w:asciiTheme="minorHAnsi" w:hAnsiTheme="minorHAnsi" w:cstheme="minorHAnsi"/>
                <w:sz w:val="20"/>
                <w:szCs w:val="20"/>
              </w:rPr>
              <w:t>Outros Recursos Vinculados</w:t>
            </w:r>
          </w:p>
        </w:tc>
        <w:tc>
          <w:tcPr>
            <w:tcW w:w="1683" w:type="dxa"/>
          </w:tcPr>
          <w:p w:rsidR="001F0237" w:rsidRPr="003A1FF8" w:rsidRDefault="00B722AC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166,96</w:t>
            </w:r>
          </w:p>
        </w:tc>
        <w:tc>
          <w:tcPr>
            <w:tcW w:w="1785" w:type="dxa"/>
          </w:tcPr>
          <w:p w:rsidR="001F0237" w:rsidRPr="003A1FF8" w:rsidRDefault="00E30503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0,00</w:t>
            </w:r>
          </w:p>
        </w:tc>
      </w:tr>
      <w:tr w:rsidR="001F0237" w:rsidRPr="00DC7E6B" w:rsidTr="00B02FFC">
        <w:tc>
          <w:tcPr>
            <w:tcW w:w="4918" w:type="dxa"/>
          </w:tcPr>
          <w:p w:rsidR="001F0237" w:rsidRPr="003A1FF8" w:rsidRDefault="001F0237" w:rsidP="00720EB4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</w:pPr>
            <w:r w:rsidRPr="003A1FF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  <w:lastRenderedPageBreak/>
              <w:t>TOTAIS</w:t>
            </w:r>
          </w:p>
        </w:tc>
        <w:tc>
          <w:tcPr>
            <w:tcW w:w="1683" w:type="dxa"/>
          </w:tcPr>
          <w:p w:rsidR="001F0237" w:rsidRPr="003A1FF8" w:rsidRDefault="00F60A77" w:rsidP="00720EB4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  <w:t>159.617.550,07</w:t>
            </w:r>
          </w:p>
        </w:tc>
        <w:tc>
          <w:tcPr>
            <w:tcW w:w="1785" w:type="dxa"/>
          </w:tcPr>
          <w:p w:rsidR="001F0237" w:rsidRPr="003A1FF8" w:rsidRDefault="00E30503" w:rsidP="00111BD5">
            <w:pPr>
              <w:tabs>
                <w:tab w:val="left" w:pos="1110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t-BR"/>
              </w:rPr>
              <w:t>19.862.118,39</w:t>
            </w:r>
          </w:p>
        </w:tc>
      </w:tr>
    </w:tbl>
    <w:p w:rsidR="001F0237" w:rsidRPr="00DC7E6B" w:rsidRDefault="001F0237" w:rsidP="001F0237">
      <w:pPr>
        <w:tabs>
          <w:tab w:val="left" w:pos="1110"/>
        </w:tabs>
        <w:spacing w:after="0" w:line="240" w:lineRule="auto"/>
        <w:rPr>
          <w:rFonts w:eastAsia="Times New Roman" w:cs="Arial"/>
          <w:lang w:eastAsia="pt-BR"/>
        </w:rPr>
      </w:pPr>
    </w:p>
    <w:p w:rsidR="001F0237" w:rsidRPr="00DC7E6B" w:rsidRDefault="001F0237" w:rsidP="001F0237">
      <w:pPr>
        <w:spacing w:after="0" w:line="240" w:lineRule="auto"/>
        <w:jc w:val="both"/>
        <w:rPr>
          <w:rFonts w:eastAsia="Times New Roman" w:cs="Arial"/>
          <w:b/>
          <w:lang w:eastAsia="pt-BR"/>
        </w:rPr>
      </w:pPr>
    </w:p>
    <w:p w:rsidR="001F0237" w:rsidRDefault="001F0237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 w:rsidRPr="00DC7E6B">
        <w:rPr>
          <w:rFonts w:eastAsia="Times New Roman" w:cs="Arial"/>
          <w:b/>
          <w:lang w:eastAsia="pt-BR"/>
        </w:rPr>
        <w:t xml:space="preserve">Nota </w:t>
      </w:r>
      <w:r w:rsidR="000665B6">
        <w:rPr>
          <w:rFonts w:eastAsia="Times New Roman" w:cs="Arial"/>
          <w:b/>
          <w:lang w:eastAsia="pt-BR"/>
        </w:rPr>
        <w:t>7</w:t>
      </w:r>
      <w:r w:rsidRPr="00DC7E6B">
        <w:rPr>
          <w:rFonts w:eastAsia="Times New Roman" w:cs="Arial"/>
          <w:b/>
          <w:lang w:eastAsia="pt-BR"/>
        </w:rPr>
        <w:t xml:space="preserve"> - Restos a Pagar: </w:t>
      </w:r>
      <w:r w:rsidRPr="00DC7E6B">
        <w:rPr>
          <w:rFonts w:eastAsia="Times New Roman" w:cs="Arial"/>
          <w:lang w:eastAsia="pt-BR"/>
        </w:rPr>
        <w:t>as despesas que foram empenhadas e não pagas até o último dia útil de 20</w:t>
      </w:r>
      <w:r w:rsidR="00633CF0">
        <w:rPr>
          <w:rFonts w:eastAsia="Times New Roman" w:cs="Arial"/>
          <w:lang w:eastAsia="pt-BR"/>
        </w:rPr>
        <w:t>2</w:t>
      </w:r>
      <w:r w:rsidR="00FB7327">
        <w:rPr>
          <w:rFonts w:eastAsia="Times New Roman" w:cs="Arial"/>
          <w:lang w:eastAsia="pt-BR"/>
        </w:rPr>
        <w:t>5</w:t>
      </w:r>
      <w:r w:rsidRPr="00DC7E6B">
        <w:rPr>
          <w:rFonts w:eastAsia="Times New Roman" w:cs="Arial"/>
          <w:lang w:eastAsia="pt-BR"/>
        </w:rPr>
        <w:t xml:space="preserve">, foram inscritas </w:t>
      </w:r>
      <w:r>
        <w:rPr>
          <w:rFonts w:eastAsia="Times New Roman" w:cs="Arial"/>
          <w:lang w:eastAsia="pt-BR"/>
        </w:rPr>
        <w:t>e escrituradas como R</w:t>
      </w:r>
      <w:r w:rsidRPr="00DC7E6B">
        <w:rPr>
          <w:rFonts w:eastAsia="Times New Roman" w:cs="Arial"/>
          <w:lang w:eastAsia="pt-BR"/>
        </w:rPr>
        <w:t>estos a Pagar</w:t>
      </w:r>
      <w:r>
        <w:rPr>
          <w:rFonts w:eastAsia="Times New Roman" w:cs="Arial"/>
          <w:lang w:eastAsia="pt-BR"/>
        </w:rPr>
        <w:t xml:space="preserve"> Processados e Não Processados</w:t>
      </w:r>
      <w:r w:rsidRPr="00DC7E6B">
        <w:rPr>
          <w:rFonts w:eastAsia="Times New Roman" w:cs="Arial"/>
          <w:lang w:eastAsia="pt-BR"/>
        </w:rPr>
        <w:t>, em atendimento aos artigos 35</w:t>
      </w:r>
      <w:r>
        <w:rPr>
          <w:rFonts w:eastAsia="Times New Roman" w:cs="Arial"/>
          <w:lang w:eastAsia="pt-BR"/>
        </w:rPr>
        <w:t xml:space="preserve">, </w:t>
      </w:r>
      <w:r w:rsidRPr="00DC7E6B">
        <w:rPr>
          <w:rFonts w:eastAsia="Times New Roman" w:cs="Arial"/>
          <w:lang w:eastAsia="pt-BR"/>
        </w:rPr>
        <w:t>36</w:t>
      </w:r>
      <w:r>
        <w:rPr>
          <w:rFonts w:eastAsia="Times New Roman" w:cs="Arial"/>
          <w:lang w:eastAsia="pt-BR"/>
        </w:rPr>
        <w:t xml:space="preserve"> e 92</w:t>
      </w:r>
      <w:r w:rsidRPr="00DC7E6B">
        <w:rPr>
          <w:rFonts w:eastAsia="Times New Roman" w:cs="Arial"/>
          <w:lang w:eastAsia="pt-BR"/>
        </w:rPr>
        <w:t xml:space="preserve"> da Lei nº 4.320/1964</w:t>
      </w:r>
      <w:r>
        <w:rPr>
          <w:rFonts w:eastAsia="Times New Roman" w:cs="Arial"/>
          <w:lang w:eastAsia="pt-BR"/>
        </w:rPr>
        <w:t>.</w:t>
      </w:r>
      <w:r w:rsidRPr="00DC7E6B">
        <w:rPr>
          <w:rFonts w:eastAsia="Times New Roman" w:cs="Arial"/>
          <w:lang w:eastAsia="pt-BR"/>
        </w:rPr>
        <w:t xml:space="preserve">  Para fins de inscrição, foram observadas as recomendações da Instrução Normativa nº </w:t>
      </w:r>
      <w:r>
        <w:rPr>
          <w:rFonts w:eastAsia="Times New Roman" w:cs="Arial"/>
          <w:lang w:eastAsia="pt-BR"/>
        </w:rPr>
        <w:t>1</w:t>
      </w:r>
      <w:r w:rsidR="00D21C8C">
        <w:rPr>
          <w:rFonts w:eastAsia="Times New Roman" w:cs="Arial"/>
          <w:lang w:eastAsia="pt-BR"/>
        </w:rPr>
        <w:t>8/2023</w:t>
      </w:r>
      <w:r w:rsidRPr="00DC7E6B">
        <w:rPr>
          <w:rFonts w:eastAsia="Times New Roman" w:cs="Arial"/>
          <w:lang w:eastAsia="pt-BR"/>
        </w:rPr>
        <w:t xml:space="preserve">, do Tribunal de Contas do Estado e os preceitos da Lei Complementar nº 101/2000. </w:t>
      </w:r>
    </w:p>
    <w:p w:rsidR="00A9760A" w:rsidRDefault="00A9760A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  <w:t>O valor inscrito de restos não processados no exercício de 202</w:t>
      </w:r>
      <w:r w:rsidR="00FB7327">
        <w:rPr>
          <w:rFonts w:eastAsia="Times New Roman" w:cs="Arial"/>
          <w:lang w:eastAsia="pt-BR"/>
        </w:rPr>
        <w:t>5</w:t>
      </w:r>
      <w:r>
        <w:rPr>
          <w:rFonts w:eastAsia="Times New Roman" w:cs="Arial"/>
          <w:lang w:eastAsia="pt-BR"/>
        </w:rPr>
        <w:t xml:space="preserve"> é de R$</w:t>
      </w:r>
      <w:r w:rsidR="00D21C8C">
        <w:rPr>
          <w:rFonts w:eastAsia="Times New Roman" w:cs="Arial"/>
          <w:lang w:eastAsia="pt-BR"/>
        </w:rPr>
        <w:t xml:space="preserve"> </w:t>
      </w:r>
      <w:r w:rsidR="00FB7327">
        <w:rPr>
          <w:rFonts w:eastAsia="Times New Roman" w:cs="Arial"/>
          <w:lang w:eastAsia="pt-BR"/>
        </w:rPr>
        <w:t>7.165.538,</w:t>
      </w:r>
      <w:proofErr w:type="gramStart"/>
      <w:r w:rsidR="00FB7327">
        <w:rPr>
          <w:rFonts w:eastAsia="Times New Roman" w:cs="Arial"/>
          <w:lang w:eastAsia="pt-BR"/>
        </w:rPr>
        <w:t>16</w:t>
      </w:r>
      <w:r>
        <w:rPr>
          <w:rFonts w:eastAsia="Times New Roman" w:cs="Arial"/>
          <w:lang w:eastAsia="pt-BR"/>
        </w:rPr>
        <w:t xml:space="preserve">  proveniente</w:t>
      </w:r>
      <w:proofErr w:type="gramEnd"/>
      <w:r w:rsidR="0018626F">
        <w:rPr>
          <w:rFonts w:eastAsia="Times New Roman" w:cs="Arial"/>
          <w:lang w:eastAsia="pt-BR"/>
        </w:rPr>
        <w:t xml:space="preserve"> </w:t>
      </w:r>
      <w:r>
        <w:rPr>
          <w:rFonts w:eastAsia="Times New Roman" w:cs="Arial"/>
          <w:lang w:eastAsia="pt-BR"/>
        </w:rPr>
        <w:t xml:space="preserve"> de valores empenhados no exercício, mas não liquidados.</w:t>
      </w:r>
    </w:p>
    <w:p w:rsidR="00A9760A" w:rsidRPr="00DC7E6B" w:rsidRDefault="00A9760A" w:rsidP="001F0237">
      <w:pPr>
        <w:spacing w:after="0" w:line="240" w:lineRule="auto"/>
        <w:jc w:val="both"/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  <w:t>O valor inscrito de restos processados no exercício de 202</w:t>
      </w:r>
      <w:r w:rsidR="00FB7327">
        <w:rPr>
          <w:rFonts w:eastAsia="Times New Roman" w:cs="Arial"/>
          <w:lang w:eastAsia="pt-BR"/>
        </w:rPr>
        <w:t>5</w:t>
      </w:r>
      <w:r>
        <w:rPr>
          <w:rFonts w:eastAsia="Times New Roman" w:cs="Arial"/>
          <w:lang w:eastAsia="pt-BR"/>
        </w:rPr>
        <w:t xml:space="preserve"> é de R$ </w:t>
      </w:r>
      <w:r w:rsidR="00FB7327">
        <w:rPr>
          <w:rFonts w:eastAsia="Times New Roman" w:cs="Arial"/>
          <w:lang w:eastAsia="pt-BR"/>
        </w:rPr>
        <w:t>2.697.569,89</w:t>
      </w:r>
      <w:r>
        <w:rPr>
          <w:rFonts w:eastAsia="Times New Roman" w:cs="Arial"/>
          <w:lang w:eastAsia="pt-BR"/>
        </w:rPr>
        <w:t xml:space="preserve"> proveniente de valores liquidados no exercício, mas não pagos.</w:t>
      </w:r>
    </w:p>
    <w:p w:rsidR="00364BE5" w:rsidRDefault="00364BE5"/>
    <w:sectPr w:rsidR="00364BE5" w:rsidSect="00364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37"/>
    <w:rsid w:val="00012D6E"/>
    <w:rsid w:val="0006273B"/>
    <w:rsid w:val="000665B6"/>
    <w:rsid w:val="00093BD9"/>
    <w:rsid w:val="00097B77"/>
    <w:rsid w:val="000B749F"/>
    <w:rsid w:val="000C5ADB"/>
    <w:rsid w:val="000D41F3"/>
    <w:rsid w:val="000D6384"/>
    <w:rsid w:val="000D7080"/>
    <w:rsid w:val="00111BD5"/>
    <w:rsid w:val="0011359E"/>
    <w:rsid w:val="00115446"/>
    <w:rsid w:val="001364E2"/>
    <w:rsid w:val="001469B1"/>
    <w:rsid w:val="00154E4D"/>
    <w:rsid w:val="00176F36"/>
    <w:rsid w:val="00183D1F"/>
    <w:rsid w:val="0018626F"/>
    <w:rsid w:val="001A619A"/>
    <w:rsid w:val="001E1088"/>
    <w:rsid w:val="001E581F"/>
    <w:rsid w:val="001F0237"/>
    <w:rsid w:val="00236A40"/>
    <w:rsid w:val="00252348"/>
    <w:rsid w:val="00294D76"/>
    <w:rsid w:val="002E24FC"/>
    <w:rsid w:val="002F07B2"/>
    <w:rsid w:val="002F6993"/>
    <w:rsid w:val="00342CFB"/>
    <w:rsid w:val="00343F3A"/>
    <w:rsid w:val="003615FD"/>
    <w:rsid w:val="00364BE5"/>
    <w:rsid w:val="0036785F"/>
    <w:rsid w:val="003836C2"/>
    <w:rsid w:val="00396904"/>
    <w:rsid w:val="003A1FF8"/>
    <w:rsid w:val="003A294C"/>
    <w:rsid w:val="003E3B7F"/>
    <w:rsid w:val="003F0DE4"/>
    <w:rsid w:val="004223BB"/>
    <w:rsid w:val="00422BF5"/>
    <w:rsid w:val="0042756B"/>
    <w:rsid w:val="00443005"/>
    <w:rsid w:val="00452104"/>
    <w:rsid w:val="004636A7"/>
    <w:rsid w:val="004D06B5"/>
    <w:rsid w:val="004F6B44"/>
    <w:rsid w:val="005112C0"/>
    <w:rsid w:val="00511978"/>
    <w:rsid w:val="00535880"/>
    <w:rsid w:val="00543FE6"/>
    <w:rsid w:val="005731A5"/>
    <w:rsid w:val="005A74CC"/>
    <w:rsid w:val="005D57F9"/>
    <w:rsid w:val="005D7529"/>
    <w:rsid w:val="005E48C1"/>
    <w:rsid w:val="0062208D"/>
    <w:rsid w:val="00633CF0"/>
    <w:rsid w:val="00641EFA"/>
    <w:rsid w:val="00681EAB"/>
    <w:rsid w:val="00690CA9"/>
    <w:rsid w:val="006E2CD3"/>
    <w:rsid w:val="007246CE"/>
    <w:rsid w:val="0073519A"/>
    <w:rsid w:val="007609D8"/>
    <w:rsid w:val="0077233A"/>
    <w:rsid w:val="00780FD5"/>
    <w:rsid w:val="007E6FEB"/>
    <w:rsid w:val="007F415A"/>
    <w:rsid w:val="008554C3"/>
    <w:rsid w:val="0089583B"/>
    <w:rsid w:val="009003C6"/>
    <w:rsid w:val="0094490F"/>
    <w:rsid w:val="00956608"/>
    <w:rsid w:val="00960AB9"/>
    <w:rsid w:val="00965B0B"/>
    <w:rsid w:val="00966B3A"/>
    <w:rsid w:val="00996974"/>
    <w:rsid w:val="00997D40"/>
    <w:rsid w:val="00A24F9C"/>
    <w:rsid w:val="00A307AD"/>
    <w:rsid w:val="00A31A88"/>
    <w:rsid w:val="00A3618B"/>
    <w:rsid w:val="00A679CB"/>
    <w:rsid w:val="00A95BDA"/>
    <w:rsid w:val="00A9760A"/>
    <w:rsid w:val="00A97611"/>
    <w:rsid w:val="00AD31FC"/>
    <w:rsid w:val="00AE1273"/>
    <w:rsid w:val="00AF063F"/>
    <w:rsid w:val="00B02FFC"/>
    <w:rsid w:val="00B06C9C"/>
    <w:rsid w:val="00B22EC3"/>
    <w:rsid w:val="00B51A40"/>
    <w:rsid w:val="00B722AC"/>
    <w:rsid w:val="00B87A93"/>
    <w:rsid w:val="00BD7706"/>
    <w:rsid w:val="00BE2844"/>
    <w:rsid w:val="00C27A5A"/>
    <w:rsid w:val="00C42157"/>
    <w:rsid w:val="00C5163E"/>
    <w:rsid w:val="00C7205B"/>
    <w:rsid w:val="00C7466A"/>
    <w:rsid w:val="00CA4DCF"/>
    <w:rsid w:val="00CC09A0"/>
    <w:rsid w:val="00CE01D5"/>
    <w:rsid w:val="00CE3579"/>
    <w:rsid w:val="00D0140B"/>
    <w:rsid w:val="00D17D56"/>
    <w:rsid w:val="00D21C8C"/>
    <w:rsid w:val="00D25388"/>
    <w:rsid w:val="00D63A60"/>
    <w:rsid w:val="00D64216"/>
    <w:rsid w:val="00D800AF"/>
    <w:rsid w:val="00DC7DD6"/>
    <w:rsid w:val="00E15C03"/>
    <w:rsid w:val="00E22E26"/>
    <w:rsid w:val="00E30503"/>
    <w:rsid w:val="00E548C3"/>
    <w:rsid w:val="00E72515"/>
    <w:rsid w:val="00E8122C"/>
    <w:rsid w:val="00E93357"/>
    <w:rsid w:val="00E93CE3"/>
    <w:rsid w:val="00EB13B5"/>
    <w:rsid w:val="00F2086E"/>
    <w:rsid w:val="00F244EE"/>
    <w:rsid w:val="00F608DA"/>
    <w:rsid w:val="00F60A77"/>
    <w:rsid w:val="00F628CB"/>
    <w:rsid w:val="00F70A53"/>
    <w:rsid w:val="00F74AD8"/>
    <w:rsid w:val="00FA6F4D"/>
    <w:rsid w:val="00FB5F14"/>
    <w:rsid w:val="00FB7327"/>
    <w:rsid w:val="00FF160C"/>
    <w:rsid w:val="00FF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9D32"/>
  <w15:docId w15:val="{0AFA9A8C-AC58-483C-9F9F-CE2783A5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237"/>
    <w:pPr>
      <w:spacing w:before="0"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0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23B7-8689-4EEC-9C2D-AA60B1B3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1476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6</cp:revision>
  <cp:lastPrinted>2026-03-24T14:12:00Z</cp:lastPrinted>
  <dcterms:created xsi:type="dcterms:W3CDTF">2026-03-24T12:37:00Z</dcterms:created>
  <dcterms:modified xsi:type="dcterms:W3CDTF">2026-03-24T14:31:00Z</dcterms:modified>
</cp:coreProperties>
</file>