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E716E" w:rsidRDefault="00CE716E" w:rsidP="00CE716E">
      <w:pPr>
        <w:pStyle w:val="Corpodetexto"/>
        <w:spacing w:after="0" w:line="360" w:lineRule="auto"/>
        <w:jc w:val="center"/>
        <w:rPr>
          <w:rFonts w:cs="Arial"/>
          <w:sz w:val="24"/>
          <w:szCs w:val="24"/>
        </w:rPr>
      </w:pPr>
      <w:r>
        <w:rPr>
          <w:rFonts w:cs="Arial"/>
          <w:b/>
          <w:bCs/>
          <w:sz w:val="24"/>
          <w:szCs w:val="24"/>
        </w:rPr>
        <w:t>EDITAL DE PREGÃO ELETRÔNIC</w:t>
      </w:r>
      <w:r>
        <w:rPr>
          <w:rFonts w:cs="Arial"/>
          <w:b/>
          <w:bCs/>
          <w:sz w:val="24"/>
          <w:szCs w:val="24"/>
        </w:rPr>
        <w:t>O PARA REGISTRO DE PREÇOS Nº 019</w:t>
      </w:r>
      <w:r>
        <w:rPr>
          <w:rFonts w:cs="Arial"/>
          <w:b/>
          <w:bCs/>
          <w:sz w:val="24"/>
          <w:szCs w:val="24"/>
        </w:rPr>
        <w:t>/2025</w:t>
      </w:r>
    </w:p>
    <w:p w:rsidR="00CE716E" w:rsidRDefault="00CE716E" w:rsidP="00CE716E">
      <w:pPr>
        <w:spacing w:line="360" w:lineRule="auto"/>
        <w:rPr>
          <w:rFonts w:cs="Arial"/>
          <w:sz w:val="18"/>
          <w:szCs w:val="18"/>
        </w:rPr>
      </w:pPr>
    </w:p>
    <w:p w:rsidR="00CE716E" w:rsidRDefault="00CE716E" w:rsidP="00CE716E">
      <w:pPr>
        <w:spacing w:line="360" w:lineRule="auto"/>
        <w:rPr>
          <w:rFonts w:cs="Arial"/>
          <w:sz w:val="18"/>
          <w:szCs w:val="18"/>
        </w:rPr>
      </w:pPr>
    </w:p>
    <w:p w:rsidR="00CE716E" w:rsidRDefault="00CE716E" w:rsidP="00CE716E">
      <w:pPr>
        <w:spacing w:line="360" w:lineRule="auto"/>
        <w:jc w:val="both"/>
        <w:rPr>
          <w:rFonts w:cs="Arial"/>
          <w:sz w:val="24"/>
          <w:szCs w:val="24"/>
        </w:rPr>
      </w:pPr>
      <w:r>
        <w:rPr>
          <w:rFonts w:cs="Arial"/>
          <w:sz w:val="24"/>
          <w:szCs w:val="24"/>
        </w:rPr>
        <w:t>Município de Santo Antônio das Missões-RS.</w:t>
      </w:r>
    </w:p>
    <w:p w:rsidR="00CE716E" w:rsidRDefault="00CE716E" w:rsidP="00CE716E">
      <w:pPr>
        <w:spacing w:line="360" w:lineRule="auto"/>
        <w:jc w:val="both"/>
        <w:rPr>
          <w:rFonts w:cs="Arial"/>
          <w:sz w:val="24"/>
          <w:szCs w:val="24"/>
        </w:rPr>
      </w:pPr>
      <w:r>
        <w:rPr>
          <w:rFonts w:cs="Arial"/>
          <w:sz w:val="24"/>
          <w:szCs w:val="24"/>
        </w:rPr>
        <w:t>Edital de Pregão Eletrônic</w:t>
      </w:r>
      <w:r>
        <w:rPr>
          <w:rFonts w:cs="Arial"/>
          <w:sz w:val="24"/>
          <w:szCs w:val="24"/>
        </w:rPr>
        <w:t>o para Registro de Preços nº 019</w:t>
      </w:r>
      <w:r>
        <w:rPr>
          <w:rFonts w:cs="Arial"/>
          <w:sz w:val="24"/>
          <w:szCs w:val="24"/>
        </w:rPr>
        <w:t>/2025</w:t>
      </w:r>
    </w:p>
    <w:p w:rsidR="00CE716E" w:rsidRDefault="00CE716E" w:rsidP="00CE716E">
      <w:pPr>
        <w:spacing w:line="360" w:lineRule="auto"/>
        <w:jc w:val="both"/>
        <w:rPr>
          <w:rFonts w:cs="Arial"/>
          <w:sz w:val="24"/>
          <w:szCs w:val="24"/>
        </w:rPr>
      </w:pPr>
      <w:r>
        <w:rPr>
          <w:rFonts w:cs="Arial"/>
          <w:sz w:val="24"/>
          <w:szCs w:val="24"/>
        </w:rPr>
        <w:t>Tipo de julgamento: menor preço por item</w:t>
      </w:r>
    </w:p>
    <w:p w:rsidR="00CE716E" w:rsidRDefault="00CE716E" w:rsidP="00CE716E">
      <w:pPr>
        <w:spacing w:line="360" w:lineRule="auto"/>
        <w:jc w:val="both"/>
        <w:rPr>
          <w:rFonts w:cs="Arial"/>
          <w:sz w:val="24"/>
          <w:szCs w:val="24"/>
        </w:rPr>
      </w:pPr>
      <w:r>
        <w:rPr>
          <w:rFonts w:cs="Arial"/>
          <w:sz w:val="24"/>
          <w:szCs w:val="24"/>
        </w:rPr>
        <w:t>Modo de disputa: aberto</w:t>
      </w:r>
    </w:p>
    <w:p w:rsidR="00CE716E" w:rsidRDefault="00CE716E" w:rsidP="00CE716E">
      <w:pPr>
        <w:tabs>
          <w:tab w:val="left" w:pos="5550"/>
        </w:tabs>
        <w:spacing w:line="360" w:lineRule="auto"/>
        <w:jc w:val="both"/>
        <w:rPr>
          <w:rFonts w:cs="Arial"/>
          <w:b/>
          <w:bCs/>
          <w:sz w:val="24"/>
          <w:szCs w:val="24"/>
        </w:rPr>
      </w:pPr>
      <w:r>
        <w:rPr>
          <w:rFonts w:cs="Arial"/>
          <w:b/>
          <w:bCs/>
          <w:sz w:val="24"/>
          <w:szCs w:val="24"/>
        </w:rPr>
        <w:t>Orçamento sigiloso</w:t>
      </w:r>
      <w:r>
        <w:rPr>
          <w:rFonts w:cs="Arial"/>
          <w:b/>
          <w:bCs/>
          <w:sz w:val="24"/>
          <w:szCs w:val="24"/>
        </w:rPr>
        <w:tab/>
      </w:r>
    </w:p>
    <w:p w:rsidR="00CE716E" w:rsidRDefault="00CE716E" w:rsidP="00CE716E">
      <w:pPr>
        <w:spacing w:line="360" w:lineRule="auto"/>
        <w:ind w:firstLine="1134"/>
        <w:jc w:val="both"/>
        <w:rPr>
          <w:rFonts w:cs="Arial"/>
          <w:sz w:val="18"/>
          <w:szCs w:val="18"/>
        </w:rPr>
      </w:pPr>
    </w:p>
    <w:p w:rsidR="00CE716E" w:rsidRDefault="00CE716E" w:rsidP="00CE716E">
      <w:pPr>
        <w:pStyle w:val="Textoembloco1"/>
        <w:spacing w:line="360" w:lineRule="auto"/>
        <w:ind w:left="0" w:firstLine="5"/>
        <w:rPr>
          <w:rFonts w:cs="Arial"/>
          <w:b/>
          <w:spacing w:val="0"/>
          <w:sz w:val="24"/>
          <w:szCs w:val="24"/>
          <w:u w:val="single"/>
        </w:rPr>
      </w:pPr>
      <w:r>
        <w:rPr>
          <w:rFonts w:cs="Arial"/>
          <w:b/>
          <w:spacing w:val="0"/>
          <w:sz w:val="24"/>
          <w:szCs w:val="24"/>
          <w:u w:val="single"/>
        </w:rPr>
        <w:t>Edital de pregão eletrônico para registro de preços unitários por itens, para futuras aquisições de M</w:t>
      </w:r>
      <w:r>
        <w:rPr>
          <w:rFonts w:cs="Arial"/>
          <w:b/>
          <w:spacing w:val="0"/>
          <w:sz w:val="24"/>
          <w:szCs w:val="24"/>
          <w:u w:val="single"/>
        </w:rPr>
        <w:t>ed</w:t>
      </w:r>
      <w:r w:rsidR="00B73893">
        <w:rPr>
          <w:rFonts w:cs="Arial"/>
          <w:b/>
          <w:spacing w:val="0"/>
          <w:sz w:val="24"/>
          <w:szCs w:val="24"/>
          <w:u w:val="single"/>
        </w:rPr>
        <w:t>ica</w:t>
      </w:r>
      <w:r w:rsidR="0044297A">
        <w:rPr>
          <w:rFonts w:cs="Arial"/>
          <w:b/>
          <w:spacing w:val="0"/>
          <w:sz w:val="24"/>
          <w:szCs w:val="24"/>
          <w:u w:val="single"/>
        </w:rPr>
        <w:t>mentos</w:t>
      </w:r>
      <w:r>
        <w:rPr>
          <w:rFonts w:cs="Arial"/>
          <w:b/>
          <w:spacing w:val="0"/>
          <w:sz w:val="24"/>
          <w:szCs w:val="24"/>
          <w:u w:val="single"/>
        </w:rPr>
        <w:t xml:space="preserve"> Injetáveis</w:t>
      </w:r>
      <w:r>
        <w:rPr>
          <w:rFonts w:cs="Arial"/>
          <w:b/>
          <w:spacing w:val="0"/>
          <w:sz w:val="24"/>
          <w:szCs w:val="24"/>
          <w:u w:val="single"/>
        </w:rPr>
        <w:t>.</w:t>
      </w:r>
    </w:p>
    <w:p w:rsidR="00CE716E" w:rsidRDefault="00CE716E" w:rsidP="00CE716E">
      <w:pPr>
        <w:pStyle w:val="Textoembloco1"/>
        <w:spacing w:line="360" w:lineRule="auto"/>
        <w:ind w:left="0" w:firstLine="5"/>
        <w:rPr>
          <w:rFonts w:cs="Arial"/>
          <w:sz w:val="18"/>
          <w:szCs w:val="18"/>
        </w:rPr>
      </w:pPr>
    </w:p>
    <w:p w:rsidR="00CE716E" w:rsidRDefault="009012F3" w:rsidP="00CE716E">
      <w:pPr>
        <w:spacing w:line="360" w:lineRule="auto"/>
        <w:jc w:val="both"/>
        <w:rPr>
          <w:rFonts w:cs="Arial"/>
          <w:sz w:val="24"/>
          <w:szCs w:val="24"/>
        </w:rPr>
      </w:pPr>
      <w:r>
        <w:rPr>
          <w:rFonts w:cs="Arial"/>
          <w:b/>
          <w:sz w:val="24"/>
          <w:szCs w:val="24"/>
        </w:rPr>
        <w:t>O PREFEITO</w:t>
      </w:r>
      <w:r w:rsidR="00CE716E">
        <w:rPr>
          <w:rFonts w:cs="Arial"/>
          <w:b/>
          <w:sz w:val="24"/>
          <w:szCs w:val="24"/>
        </w:rPr>
        <w:t xml:space="preserve"> MUNICIPAL DE SANTO ANTÔNIO DAS MISSÕES-RS</w:t>
      </w:r>
      <w:r w:rsidR="00CE716E">
        <w:rPr>
          <w:rFonts w:cs="Arial"/>
          <w:sz w:val="24"/>
          <w:szCs w:val="24"/>
        </w:rPr>
        <w:t>, no uso de suas atribuições, torna público, para conhecimento dos interessados, a realização de licitação na modalidade pregão, na forma eletrônica, do tipo menor preço por item, tenho por objetivo o registro de preços unitários por itens para futuras aquisições de</w:t>
      </w:r>
      <w:r w:rsidR="00CE716E">
        <w:rPr>
          <w:rFonts w:cs="Arial"/>
          <w:sz w:val="24"/>
          <w:szCs w:val="24"/>
        </w:rPr>
        <w:t xml:space="preserve"> Medica</w:t>
      </w:r>
      <w:r w:rsidR="0044297A">
        <w:rPr>
          <w:rFonts w:cs="Arial"/>
          <w:sz w:val="24"/>
          <w:szCs w:val="24"/>
        </w:rPr>
        <w:t>mentos</w:t>
      </w:r>
      <w:r w:rsidR="00CE716E">
        <w:rPr>
          <w:rFonts w:cs="Arial"/>
          <w:sz w:val="24"/>
          <w:szCs w:val="24"/>
        </w:rPr>
        <w:t xml:space="preserve"> Injetáveis</w:t>
      </w:r>
      <w:r w:rsidR="00CE716E">
        <w:rPr>
          <w:rFonts w:cs="Arial"/>
          <w:sz w:val="24"/>
          <w:szCs w:val="24"/>
        </w:rPr>
        <w:t>, conforme descrito neste edital e seus anexos, e nos termos da Lei Federal nº 14.133, de 1º de abril de 2021, e do Decreto Municipal nº 5452/2023.</w:t>
      </w:r>
    </w:p>
    <w:p w:rsidR="00CE716E" w:rsidRDefault="00CE716E" w:rsidP="00CE716E">
      <w:pPr>
        <w:spacing w:line="360" w:lineRule="auto"/>
        <w:jc w:val="both"/>
        <w:rPr>
          <w:rFonts w:cs="Arial"/>
          <w:sz w:val="18"/>
          <w:szCs w:val="18"/>
        </w:rPr>
      </w:pPr>
    </w:p>
    <w:p w:rsidR="00CE716E" w:rsidRDefault="00CE716E" w:rsidP="00CE716E">
      <w:pPr>
        <w:spacing w:line="360" w:lineRule="auto"/>
        <w:jc w:val="both"/>
        <w:rPr>
          <w:rFonts w:cs="Arial"/>
          <w:bCs/>
          <w:sz w:val="24"/>
          <w:szCs w:val="24"/>
        </w:rPr>
      </w:pPr>
      <w:r>
        <w:rPr>
          <w:rFonts w:cs="Arial"/>
          <w:bCs/>
          <w:sz w:val="24"/>
          <w:szCs w:val="24"/>
        </w:rPr>
        <w:t xml:space="preserve">A sessão virtual do pregão eletrônico será realizada no seguinte endereço: </w:t>
      </w:r>
      <w:r>
        <w:rPr>
          <w:sz w:val="24"/>
          <w:szCs w:val="24"/>
        </w:rPr>
        <w:t>site www.bllcompras.com</w:t>
      </w:r>
      <w:r>
        <w:rPr>
          <w:rFonts w:cs="Arial"/>
          <w:bCs/>
          <w:sz w:val="24"/>
          <w:szCs w:val="24"/>
        </w:rPr>
        <w:t xml:space="preserve">, </w:t>
      </w:r>
      <w:r>
        <w:rPr>
          <w:rFonts w:cs="Arial"/>
          <w:bCs/>
          <w:sz w:val="24"/>
          <w:szCs w:val="24"/>
        </w:rPr>
        <w:t>no dia 27</w:t>
      </w:r>
      <w:r>
        <w:rPr>
          <w:rFonts w:cs="Arial"/>
          <w:bCs/>
          <w:sz w:val="24"/>
          <w:szCs w:val="24"/>
        </w:rPr>
        <w:t xml:space="preserve"> de fevereiro de 2025, às 09:30h, podendo as propostas serem enviadas até às 09:00h, sendo que todas as referências de tempo observam o horário de Brasília.</w:t>
      </w:r>
    </w:p>
    <w:p w:rsidR="00CE716E" w:rsidRDefault="00CE716E" w:rsidP="00CE716E">
      <w:pPr>
        <w:spacing w:line="360" w:lineRule="auto"/>
        <w:jc w:val="both"/>
        <w:rPr>
          <w:rFonts w:cs="Arial"/>
          <w:bCs/>
          <w:sz w:val="24"/>
          <w:szCs w:val="24"/>
        </w:rPr>
      </w:pPr>
      <w:r>
        <w:rPr>
          <w:rFonts w:cs="Arial"/>
          <w:bCs/>
          <w:sz w:val="24"/>
          <w:szCs w:val="24"/>
        </w:rPr>
        <w:t>O orçamento da Administração é sigiloso, com fundamento no art. 24 da Lei nº 14.133/</w:t>
      </w:r>
      <w:proofErr w:type="gramStart"/>
      <w:r>
        <w:rPr>
          <w:rFonts w:cs="Arial"/>
          <w:bCs/>
          <w:sz w:val="24"/>
          <w:szCs w:val="24"/>
        </w:rPr>
        <w:t>2021,  e</w:t>
      </w:r>
      <w:proofErr w:type="gramEnd"/>
      <w:r>
        <w:rPr>
          <w:rFonts w:cs="Arial"/>
          <w:bCs/>
          <w:sz w:val="24"/>
          <w:szCs w:val="24"/>
        </w:rPr>
        <w:t xml:space="preserve"> será tornado público apenas e imediatamente após o encerramento da etapa de lances.</w:t>
      </w:r>
    </w:p>
    <w:p w:rsidR="00CE716E" w:rsidRDefault="00CE716E" w:rsidP="00CE716E">
      <w:pPr>
        <w:spacing w:line="360" w:lineRule="auto"/>
        <w:jc w:val="both"/>
        <w:rPr>
          <w:rFonts w:cs="Arial"/>
          <w:b/>
          <w:sz w:val="24"/>
          <w:szCs w:val="24"/>
        </w:rPr>
      </w:pPr>
    </w:p>
    <w:p w:rsidR="00CE716E" w:rsidRDefault="00CE716E" w:rsidP="00CE716E">
      <w:pPr>
        <w:spacing w:line="360" w:lineRule="auto"/>
        <w:jc w:val="both"/>
        <w:rPr>
          <w:rFonts w:cs="Arial"/>
          <w:sz w:val="24"/>
          <w:szCs w:val="24"/>
        </w:rPr>
      </w:pPr>
      <w:r>
        <w:rPr>
          <w:rFonts w:cs="Arial"/>
          <w:b/>
          <w:sz w:val="24"/>
          <w:szCs w:val="24"/>
        </w:rPr>
        <w:t>1. DO OBJETO:</w:t>
      </w:r>
    </w:p>
    <w:p w:rsidR="00CE716E" w:rsidRDefault="00CE716E" w:rsidP="00CE716E">
      <w:pPr>
        <w:spacing w:line="360" w:lineRule="auto"/>
        <w:jc w:val="both"/>
        <w:rPr>
          <w:rFonts w:cs="Arial"/>
          <w:sz w:val="24"/>
          <w:szCs w:val="24"/>
        </w:rPr>
      </w:pPr>
      <w:r>
        <w:rPr>
          <w:rFonts w:cs="Arial"/>
          <w:sz w:val="24"/>
          <w:szCs w:val="24"/>
        </w:rPr>
        <w:lastRenderedPageBreak/>
        <w:t>1.1 - Constitui objeto da presente licitação o registro de preços unitários para futuras aquisições de M</w:t>
      </w:r>
      <w:r>
        <w:rPr>
          <w:rFonts w:cs="Arial"/>
          <w:sz w:val="24"/>
          <w:szCs w:val="24"/>
        </w:rPr>
        <w:t>edica</w:t>
      </w:r>
      <w:r w:rsidR="0044297A">
        <w:rPr>
          <w:rFonts w:cs="Arial"/>
          <w:sz w:val="24"/>
          <w:szCs w:val="24"/>
        </w:rPr>
        <w:t>mentos</w:t>
      </w:r>
      <w:r>
        <w:rPr>
          <w:rFonts w:cs="Arial"/>
          <w:sz w:val="24"/>
          <w:szCs w:val="24"/>
        </w:rPr>
        <w:t xml:space="preserve"> Injetáveis</w:t>
      </w:r>
      <w:r>
        <w:rPr>
          <w:rFonts w:cs="Arial"/>
          <w:sz w:val="24"/>
          <w:szCs w:val="24"/>
        </w:rPr>
        <w:t>, cujas descrições e condições de entrega estão detalhadas no Termo de Referência (Anexo I):</w:t>
      </w:r>
    </w:p>
    <w:p w:rsidR="00CE716E" w:rsidRDefault="00CE716E" w:rsidP="00CE716E">
      <w:pPr>
        <w:spacing w:line="360" w:lineRule="auto"/>
        <w:jc w:val="both"/>
        <w:rPr>
          <w:rFonts w:cs="Arial"/>
          <w:sz w:val="24"/>
          <w:szCs w:val="24"/>
        </w:rPr>
      </w:pPr>
      <w:r>
        <w:rPr>
          <w:rFonts w:cs="Arial"/>
          <w:sz w:val="24"/>
          <w:szCs w:val="24"/>
        </w:rPr>
        <w:t>Itens relacionados:</w:t>
      </w:r>
    </w:p>
    <w:p w:rsidR="00CE716E" w:rsidRDefault="00CE716E" w:rsidP="00CE716E">
      <w:pPr>
        <w:spacing w:line="360" w:lineRule="auto"/>
        <w:jc w:val="both"/>
        <w:rPr>
          <w:rFonts w:cs="Arial"/>
          <w:sz w:val="24"/>
          <w:szCs w:val="24"/>
        </w:rPr>
      </w:pPr>
    </w:p>
    <w:tbl>
      <w:tblPr>
        <w:tblW w:w="793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701"/>
        <w:gridCol w:w="4536"/>
        <w:gridCol w:w="1134"/>
        <w:gridCol w:w="1559"/>
      </w:tblGrid>
      <w:tr w:rsidR="00CE716E" w:rsidTr="00CE716E">
        <w:tc>
          <w:tcPr>
            <w:tcW w:w="701" w:type="dxa"/>
            <w:tcBorders>
              <w:top w:val="single" w:sz="6" w:space="0" w:color="auto"/>
              <w:left w:val="single" w:sz="6" w:space="0" w:color="auto"/>
              <w:bottom w:val="single" w:sz="6" w:space="0" w:color="auto"/>
              <w:right w:val="single" w:sz="6" w:space="0" w:color="auto"/>
            </w:tcBorders>
            <w:hideMark/>
          </w:tcPr>
          <w:p w:rsidR="00CE716E" w:rsidRDefault="00CE716E">
            <w:pPr>
              <w:spacing w:line="256" w:lineRule="auto"/>
              <w:jc w:val="center"/>
              <w:textAlignment w:val="baseline"/>
              <w:rPr>
                <w:rFonts w:cs="Arial"/>
                <w:b/>
                <w:bCs/>
                <w:szCs w:val="22"/>
                <w:lang w:eastAsia="pt-BR"/>
              </w:rPr>
            </w:pPr>
            <w:r>
              <w:rPr>
                <w:rFonts w:cs="Arial"/>
                <w:b/>
                <w:bCs/>
                <w:szCs w:val="22"/>
                <w:lang w:eastAsia="pt-BR"/>
              </w:rPr>
              <w:t>ITEM</w:t>
            </w:r>
          </w:p>
        </w:tc>
        <w:tc>
          <w:tcPr>
            <w:tcW w:w="4536" w:type="dxa"/>
            <w:tcBorders>
              <w:top w:val="single" w:sz="6" w:space="0" w:color="auto"/>
              <w:left w:val="single" w:sz="6" w:space="0" w:color="auto"/>
              <w:bottom w:val="single" w:sz="6" w:space="0" w:color="auto"/>
              <w:right w:val="single" w:sz="6" w:space="0" w:color="auto"/>
            </w:tcBorders>
            <w:hideMark/>
          </w:tcPr>
          <w:p w:rsidR="00CE716E" w:rsidRDefault="00CE716E">
            <w:pPr>
              <w:spacing w:line="256" w:lineRule="auto"/>
              <w:jc w:val="center"/>
              <w:textAlignment w:val="baseline"/>
              <w:rPr>
                <w:rFonts w:cs="Arial"/>
                <w:szCs w:val="22"/>
                <w:lang w:eastAsia="pt-BR"/>
              </w:rPr>
            </w:pPr>
            <w:r>
              <w:rPr>
                <w:rFonts w:cs="Arial"/>
                <w:b/>
                <w:bCs/>
                <w:szCs w:val="22"/>
                <w:lang w:eastAsia="pt-BR"/>
              </w:rPr>
              <w:t>Material</w:t>
            </w:r>
            <w:r>
              <w:rPr>
                <w:rFonts w:cs="Arial"/>
                <w:szCs w:val="22"/>
                <w:lang w:eastAsia="pt-BR"/>
              </w:rPr>
              <w:t> </w:t>
            </w:r>
          </w:p>
        </w:tc>
        <w:tc>
          <w:tcPr>
            <w:tcW w:w="1134" w:type="dxa"/>
            <w:tcBorders>
              <w:top w:val="single" w:sz="6" w:space="0" w:color="auto"/>
              <w:left w:val="single" w:sz="6" w:space="0" w:color="auto"/>
              <w:bottom w:val="single" w:sz="6" w:space="0" w:color="auto"/>
              <w:right w:val="single" w:sz="6" w:space="0" w:color="auto"/>
            </w:tcBorders>
            <w:hideMark/>
          </w:tcPr>
          <w:p w:rsidR="00CE716E" w:rsidRDefault="00CE716E">
            <w:pPr>
              <w:spacing w:line="256" w:lineRule="auto"/>
              <w:jc w:val="center"/>
              <w:textAlignment w:val="baseline"/>
              <w:rPr>
                <w:rFonts w:cs="Arial"/>
                <w:b/>
                <w:bCs/>
                <w:szCs w:val="22"/>
                <w:lang w:eastAsia="pt-BR"/>
              </w:rPr>
            </w:pPr>
            <w:proofErr w:type="spellStart"/>
            <w:r>
              <w:rPr>
                <w:rFonts w:cs="Arial"/>
                <w:b/>
                <w:bCs/>
                <w:szCs w:val="22"/>
                <w:lang w:eastAsia="pt-BR"/>
              </w:rPr>
              <w:t>Qtd</w:t>
            </w:r>
            <w:proofErr w:type="spellEnd"/>
            <w:r>
              <w:rPr>
                <w:rFonts w:cs="Arial"/>
                <w:b/>
                <w:bCs/>
                <w:szCs w:val="22"/>
                <w:lang w:eastAsia="pt-BR"/>
              </w:rPr>
              <w:t xml:space="preserve">. </w:t>
            </w:r>
            <w:proofErr w:type="spellStart"/>
            <w:r>
              <w:rPr>
                <w:rFonts w:cs="Arial"/>
                <w:b/>
                <w:bCs/>
                <w:szCs w:val="22"/>
                <w:lang w:eastAsia="pt-BR"/>
              </w:rPr>
              <w:t>máx</w:t>
            </w:r>
            <w:proofErr w:type="spellEnd"/>
          </w:p>
        </w:tc>
        <w:tc>
          <w:tcPr>
            <w:tcW w:w="1559" w:type="dxa"/>
            <w:tcBorders>
              <w:top w:val="single" w:sz="6" w:space="0" w:color="auto"/>
              <w:left w:val="single" w:sz="6" w:space="0" w:color="auto"/>
              <w:bottom w:val="single" w:sz="6" w:space="0" w:color="auto"/>
              <w:right w:val="single" w:sz="6" w:space="0" w:color="auto"/>
            </w:tcBorders>
            <w:hideMark/>
          </w:tcPr>
          <w:p w:rsidR="00CE716E" w:rsidRDefault="00CE716E">
            <w:pPr>
              <w:spacing w:line="256" w:lineRule="auto"/>
              <w:jc w:val="center"/>
              <w:textAlignment w:val="baseline"/>
              <w:rPr>
                <w:rFonts w:cs="Arial"/>
                <w:b/>
                <w:bCs/>
                <w:szCs w:val="22"/>
                <w:lang w:eastAsia="pt-BR"/>
              </w:rPr>
            </w:pPr>
            <w:r>
              <w:rPr>
                <w:rFonts w:cs="Arial"/>
                <w:b/>
                <w:bCs/>
                <w:szCs w:val="22"/>
                <w:lang w:eastAsia="pt-BR"/>
              </w:rPr>
              <w:t>Total R$</w:t>
            </w:r>
          </w:p>
        </w:tc>
      </w:tr>
      <w:tr w:rsidR="00CE716E" w:rsidTr="00E10DEB">
        <w:tc>
          <w:tcPr>
            <w:tcW w:w="701" w:type="dxa"/>
            <w:tcBorders>
              <w:top w:val="single" w:sz="6" w:space="0" w:color="auto"/>
              <w:left w:val="single" w:sz="6" w:space="0" w:color="auto"/>
              <w:bottom w:val="single" w:sz="6" w:space="0" w:color="auto"/>
              <w:right w:val="single" w:sz="6" w:space="0" w:color="auto"/>
            </w:tcBorders>
            <w:hideMark/>
          </w:tcPr>
          <w:p w:rsidR="00CE716E" w:rsidRPr="008061A6" w:rsidRDefault="00CE716E" w:rsidP="00CE716E">
            <w:pPr>
              <w:spacing w:line="256" w:lineRule="auto"/>
              <w:jc w:val="both"/>
              <w:textAlignment w:val="baseline"/>
              <w:rPr>
                <w:rFonts w:cs="Arial"/>
                <w:color w:val="000000" w:themeColor="text1"/>
                <w:szCs w:val="22"/>
                <w:lang w:eastAsia="pt-BR"/>
              </w:rPr>
            </w:pPr>
            <w:r w:rsidRPr="008061A6">
              <w:rPr>
                <w:rFonts w:cs="Arial"/>
                <w:color w:val="000000" w:themeColor="text1"/>
                <w:szCs w:val="22"/>
                <w:lang w:eastAsia="pt-BR"/>
              </w:rPr>
              <w:t>01</w:t>
            </w:r>
          </w:p>
        </w:tc>
        <w:tc>
          <w:tcPr>
            <w:tcW w:w="4536" w:type="dxa"/>
            <w:tcBorders>
              <w:top w:val="single" w:sz="6" w:space="0" w:color="auto"/>
              <w:left w:val="single" w:sz="6" w:space="0" w:color="auto"/>
              <w:bottom w:val="single" w:sz="6" w:space="0" w:color="auto"/>
              <w:right w:val="single" w:sz="6" w:space="0" w:color="auto"/>
            </w:tcBorders>
            <w:vAlign w:val="center"/>
          </w:tcPr>
          <w:p w:rsidR="00CE716E" w:rsidRPr="00CE716E" w:rsidRDefault="00CE716E" w:rsidP="00CE716E">
            <w:pPr>
              <w:rPr>
                <w:rFonts w:eastAsiaTheme="majorEastAsia" w:cs="Arial"/>
                <w:sz w:val="24"/>
                <w:szCs w:val="24"/>
              </w:rPr>
            </w:pPr>
            <w:r w:rsidRPr="00CE716E">
              <w:rPr>
                <w:rFonts w:eastAsiaTheme="majorEastAsia" w:cs="Arial"/>
                <w:sz w:val="24"/>
                <w:szCs w:val="24"/>
              </w:rPr>
              <w:t>Ácido Ascórbico 100mg 5ml C/100 Ampolas</w:t>
            </w:r>
          </w:p>
        </w:tc>
        <w:tc>
          <w:tcPr>
            <w:tcW w:w="1134" w:type="dxa"/>
            <w:tcBorders>
              <w:top w:val="single" w:sz="6" w:space="0" w:color="auto"/>
              <w:left w:val="single" w:sz="6" w:space="0" w:color="auto"/>
              <w:bottom w:val="single" w:sz="6" w:space="0" w:color="auto"/>
              <w:right w:val="single" w:sz="6" w:space="0" w:color="auto"/>
            </w:tcBorders>
            <w:vAlign w:val="center"/>
          </w:tcPr>
          <w:p w:rsidR="00CE716E" w:rsidRPr="00CE716E" w:rsidRDefault="00CE716E" w:rsidP="00CE716E">
            <w:pPr>
              <w:rPr>
                <w:rFonts w:eastAsiaTheme="majorEastAsia" w:cs="Arial"/>
                <w:sz w:val="24"/>
                <w:szCs w:val="24"/>
              </w:rPr>
            </w:pPr>
            <w:r w:rsidRPr="00CE716E">
              <w:rPr>
                <w:rFonts w:eastAsiaTheme="majorEastAsia" w:cs="Arial"/>
                <w:sz w:val="24"/>
                <w:szCs w:val="24"/>
              </w:rPr>
              <w:t>1000</w:t>
            </w:r>
            <w:r>
              <w:rPr>
                <w:rFonts w:eastAsiaTheme="majorEastAsia" w:cs="Arial"/>
                <w:sz w:val="24"/>
                <w:szCs w:val="24"/>
              </w:rPr>
              <w:t xml:space="preserve"> </w:t>
            </w:r>
            <w:proofErr w:type="spellStart"/>
            <w:r>
              <w:rPr>
                <w:rFonts w:eastAsiaTheme="majorEastAsia" w:cs="Arial"/>
                <w:sz w:val="24"/>
                <w:szCs w:val="24"/>
              </w:rPr>
              <w:t>cx</w:t>
            </w:r>
            <w:proofErr w:type="spellEnd"/>
          </w:p>
        </w:tc>
        <w:tc>
          <w:tcPr>
            <w:tcW w:w="1559" w:type="dxa"/>
            <w:tcBorders>
              <w:top w:val="single" w:sz="6" w:space="0" w:color="auto"/>
              <w:left w:val="single" w:sz="6" w:space="0" w:color="auto"/>
              <w:bottom w:val="single" w:sz="6" w:space="0" w:color="auto"/>
              <w:right w:val="single" w:sz="6" w:space="0" w:color="auto"/>
            </w:tcBorders>
          </w:tcPr>
          <w:p w:rsidR="00CE716E" w:rsidRDefault="00CE716E" w:rsidP="00CE716E">
            <w:pPr>
              <w:spacing w:line="256" w:lineRule="auto"/>
              <w:jc w:val="both"/>
              <w:textAlignment w:val="baseline"/>
              <w:rPr>
                <w:rFonts w:cs="Arial"/>
                <w:color w:val="000000" w:themeColor="text1"/>
                <w:szCs w:val="22"/>
                <w:lang w:eastAsia="pt-BR"/>
              </w:rPr>
            </w:pPr>
          </w:p>
        </w:tc>
      </w:tr>
      <w:tr w:rsidR="00CE716E" w:rsidTr="00E10DEB">
        <w:tc>
          <w:tcPr>
            <w:tcW w:w="701" w:type="dxa"/>
            <w:tcBorders>
              <w:top w:val="single" w:sz="6" w:space="0" w:color="auto"/>
              <w:left w:val="single" w:sz="6" w:space="0" w:color="auto"/>
              <w:bottom w:val="single" w:sz="6" w:space="0" w:color="auto"/>
              <w:right w:val="single" w:sz="6" w:space="0" w:color="auto"/>
            </w:tcBorders>
            <w:hideMark/>
          </w:tcPr>
          <w:p w:rsidR="00CE716E" w:rsidRPr="008061A6" w:rsidRDefault="00CE716E" w:rsidP="00CE716E">
            <w:pPr>
              <w:spacing w:line="256" w:lineRule="auto"/>
              <w:jc w:val="both"/>
              <w:textAlignment w:val="baseline"/>
              <w:rPr>
                <w:rFonts w:cs="Arial"/>
                <w:color w:val="000000" w:themeColor="text1"/>
                <w:szCs w:val="22"/>
                <w:lang w:eastAsia="pt-BR"/>
              </w:rPr>
            </w:pPr>
            <w:r w:rsidRPr="008061A6">
              <w:rPr>
                <w:rFonts w:cs="Arial"/>
                <w:color w:val="000000" w:themeColor="text1"/>
                <w:szCs w:val="22"/>
                <w:lang w:eastAsia="pt-BR"/>
              </w:rPr>
              <w:t>02</w:t>
            </w:r>
          </w:p>
        </w:tc>
        <w:tc>
          <w:tcPr>
            <w:tcW w:w="4536" w:type="dxa"/>
            <w:tcBorders>
              <w:top w:val="single" w:sz="6" w:space="0" w:color="auto"/>
              <w:left w:val="single" w:sz="6" w:space="0" w:color="auto"/>
              <w:bottom w:val="single" w:sz="6" w:space="0" w:color="auto"/>
              <w:right w:val="single" w:sz="6" w:space="0" w:color="auto"/>
            </w:tcBorders>
            <w:vAlign w:val="center"/>
          </w:tcPr>
          <w:p w:rsidR="00CE716E" w:rsidRPr="00CE716E" w:rsidRDefault="00CE716E" w:rsidP="00CE716E">
            <w:pPr>
              <w:rPr>
                <w:rFonts w:eastAsiaTheme="majorEastAsia" w:cs="Arial"/>
                <w:sz w:val="24"/>
                <w:szCs w:val="24"/>
              </w:rPr>
            </w:pPr>
            <w:proofErr w:type="spellStart"/>
            <w:r w:rsidRPr="00CE716E">
              <w:rPr>
                <w:rFonts w:eastAsiaTheme="majorEastAsia" w:cs="Arial"/>
                <w:sz w:val="24"/>
                <w:szCs w:val="24"/>
              </w:rPr>
              <w:t>Salbutamol</w:t>
            </w:r>
            <w:proofErr w:type="spellEnd"/>
            <w:r w:rsidRPr="00CE716E">
              <w:rPr>
                <w:rFonts w:eastAsiaTheme="majorEastAsia" w:cs="Arial"/>
                <w:sz w:val="24"/>
                <w:szCs w:val="24"/>
              </w:rPr>
              <w:t xml:space="preserve"> Spray 100mcg 200 doses</w:t>
            </w:r>
          </w:p>
        </w:tc>
        <w:tc>
          <w:tcPr>
            <w:tcW w:w="1134" w:type="dxa"/>
            <w:tcBorders>
              <w:top w:val="single" w:sz="6" w:space="0" w:color="auto"/>
              <w:left w:val="single" w:sz="6" w:space="0" w:color="auto"/>
              <w:bottom w:val="single" w:sz="6" w:space="0" w:color="auto"/>
              <w:right w:val="single" w:sz="6" w:space="0" w:color="auto"/>
            </w:tcBorders>
            <w:vAlign w:val="center"/>
          </w:tcPr>
          <w:p w:rsidR="00CE716E" w:rsidRPr="00CE716E" w:rsidRDefault="00CE716E" w:rsidP="00CE716E">
            <w:pPr>
              <w:rPr>
                <w:rFonts w:eastAsiaTheme="majorEastAsia" w:cs="Arial"/>
                <w:sz w:val="24"/>
                <w:szCs w:val="24"/>
              </w:rPr>
            </w:pPr>
            <w:r w:rsidRPr="00CE716E">
              <w:rPr>
                <w:rFonts w:eastAsiaTheme="majorEastAsia" w:cs="Arial"/>
                <w:sz w:val="24"/>
                <w:szCs w:val="24"/>
              </w:rPr>
              <w:t>1000</w:t>
            </w:r>
            <w:r w:rsidR="00552EC8">
              <w:rPr>
                <w:rFonts w:eastAsiaTheme="majorEastAsia" w:cs="Arial"/>
                <w:sz w:val="24"/>
                <w:szCs w:val="24"/>
              </w:rPr>
              <w:t xml:space="preserve"> </w:t>
            </w:r>
            <w:proofErr w:type="spellStart"/>
            <w:r w:rsidR="00552EC8">
              <w:rPr>
                <w:rFonts w:eastAsiaTheme="majorEastAsia" w:cs="Arial"/>
                <w:sz w:val="24"/>
                <w:szCs w:val="24"/>
              </w:rPr>
              <w:t>unid</w:t>
            </w:r>
            <w:proofErr w:type="spellEnd"/>
          </w:p>
        </w:tc>
        <w:tc>
          <w:tcPr>
            <w:tcW w:w="1559" w:type="dxa"/>
            <w:tcBorders>
              <w:top w:val="single" w:sz="6" w:space="0" w:color="auto"/>
              <w:left w:val="single" w:sz="6" w:space="0" w:color="auto"/>
              <w:bottom w:val="single" w:sz="6" w:space="0" w:color="auto"/>
              <w:right w:val="single" w:sz="6" w:space="0" w:color="auto"/>
            </w:tcBorders>
          </w:tcPr>
          <w:p w:rsidR="00CE716E" w:rsidRDefault="00CE716E" w:rsidP="00CE716E">
            <w:pPr>
              <w:spacing w:line="256" w:lineRule="auto"/>
              <w:jc w:val="both"/>
              <w:textAlignment w:val="baseline"/>
              <w:rPr>
                <w:rFonts w:cs="Arial"/>
                <w:color w:val="000000" w:themeColor="text1"/>
                <w:szCs w:val="22"/>
                <w:lang w:eastAsia="pt-BR"/>
              </w:rPr>
            </w:pPr>
          </w:p>
        </w:tc>
      </w:tr>
      <w:tr w:rsidR="00CE716E" w:rsidTr="00E10DEB">
        <w:tc>
          <w:tcPr>
            <w:tcW w:w="701" w:type="dxa"/>
            <w:tcBorders>
              <w:top w:val="single" w:sz="6" w:space="0" w:color="auto"/>
              <w:left w:val="single" w:sz="6" w:space="0" w:color="auto"/>
              <w:bottom w:val="single" w:sz="6" w:space="0" w:color="auto"/>
              <w:right w:val="single" w:sz="6" w:space="0" w:color="auto"/>
            </w:tcBorders>
            <w:hideMark/>
          </w:tcPr>
          <w:p w:rsidR="00CE716E" w:rsidRPr="008061A6" w:rsidRDefault="00CE716E" w:rsidP="00CE716E">
            <w:pPr>
              <w:spacing w:line="256" w:lineRule="auto"/>
              <w:jc w:val="both"/>
              <w:textAlignment w:val="baseline"/>
              <w:rPr>
                <w:rFonts w:cs="Arial"/>
                <w:color w:val="000000" w:themeColor="text1"/>
                <w:szCs w:val="22"/>
                <w:lang w:eastAsia="pt-BR"/>
              </w:rPr>
            </w:pPr>
            <w:r w:rsidRPr="008061A6">
              <w:rPr>
                <w:rFonts w:cs="Arial"/>
                <w:color w:val="000000" w:themeColor="text1"/>
                <w:szCs w:val="22"/>
                <w:lang w:eastAsia="pt-BR"/>
              </w:rPr>
              <w:t>03</w:t>
            </w:r>
          </w:p>
        </w:tc>
        <w:tc>
          <w:tcPr>
            <w:tcW w:w="4536" w:type="dxa"/>
            <w:tcBorders>
              <w:top w:val="single" w:sz="6" w:space="0" w:color="auto"/>
              <w:left w:val="single" w:sz="6" w:space="0" w:color="auto"/>
              <w:bottom w:val="single" w:sz="6" w:space="0" w:color="auto"/>
              <w:right w:val="single" w:sz="6" w:space="0" w:color="auto"/>
            </w:tcBorders>
            <w:vAlign w:val="center"/>
          </w:tcPr>
          <w:p w:rsidR="00CE716E" w:rsidRPr="00CE716E" w:rsidRDefault="00CE716E" w:rsidP="00CE716E">
            <w:pPr>
              <w:rPr>
                <w:rFonts w:eastAsiaTheme="majorEastAsia" w:cs="Arial"/>
                <w:sz w:val="24"/>
                <w:szCs w:val="24"/>
              </w:rPr>
            </w:pPr>
            <w:r w:rsidRPr="00CE716E">
              <w:rPr>
                <w:rFonts w:eastAsiaTheme="majorEastAsia" w:cs="Arial"/>
                <w:sz w:val="24"/>
                <w:szCs w:val="24"/>
              </w:rPr>
              <w:t xml:space="preserve">Brometo de </w:t>
            </w:r>
            <w:proofErr w:type="spellStart"/>
            <w:r w:rsidRPr="00CE716E">
              <w:rPr>
                <w:rFonts w:eastAsiaTheme="majorEastAsia" w:cs="Arial"/>
                <w:sz w:val="24"/>
                <w:szCs w:val="24"/>
              </w:rPr>
              <w:t>Ipratrópio</w:t>
            </w:r>
            <w:proofErr w:type="spellEnd"/>
            <w:r w:rsidRPr="00CE716E">
              <w:rPr>
                <w:rFonts w:eastAsiaTheme="majorEastAsia" w:cs="Arial"/>
                <w:sz w:val="24"/>
                <w:szCs w:val="24"/>
              </w:rPr>
              <w:t xml:space="preserve"> </w:t>
            </w:r>
            <w:proofErr w:type="spellStart"/>
            <w:r w:rsidRPr="00CE716E">
              <w:rPr>
                <w:rFonts w:eastAsiaTheme="majorEastAsia" w:cs="Arial"/>
                <w:sz w:val="24"/>
                <w:szCs w:val="24"/>
              </w:rPr>
              <w:t>Gotás</w:t>
            </w:r>
            <w:proofErr w:type="spellEnd"/>
          </w:p>
        </w:tc>
        <w:tc>
          <w:tcPr>
            <w:tcW w:w="1134" w:type="dxa"/>
            <w:tcBorders>
              <w:top w:val="single" w:sz="6" w:space="0" w:color="auto"/>
              <w:left w:val="single" w:sz="6" w:space="0" w:color="auto"/>
              <w:bottom w:val="single" w:sz="6" w:space="0" w:color="auto"/>
              <w:right w:val="single" w:sz="6" w:space="0" w:color="auto"/>
            </w:tcBorders>
            <w:vAlign w:val="center"/>
          </w:tcPr>
          <w:p w:rsidR="00CE716E" w:rsidRPr="00CE716E" w:rsidRDefault="00CE716E" w:rsidP="00CE716E">
            <w:pPr>
              <w:rPr>
                <w:rFonts w:eastAsiaTheme="majorEastAsia" w:cs="Arial"/>
                <w:sz w:val="24"/>
                <w:szCs w:val="24"/>
              </w:rPr>
            </w:pPr>
            <w:r w:rsidRPr="00CE716E">
              <w:rPr>
                <w:rFonts w:eastAsiaTheme="majorEastAsia" w:cs="Arial"/>
                <w:sz w:val="24"/>
                <w:szCs w:val="24"/>
              </w:rPr>
              <w:t>1000</w:t>
            </w:r>
            <w:r w:rsidR="00552EC8">
              <w:rPr>
                <w:rFonts w:eastAsiaTheme="majorEastAsia" w:cs="Arial"/>
                <w:sz w:val="24"/>
                <w:szCs w:val="24"/>
              </w:rPr>
              <w:t xml:space="preserve"> </w:t>
            </w:r>
            <w:proofErr w:type="spellStart"/>
            <w:r w:rsidR="00552EC8">
              <w:rPr>
                <w:rFonts w:eastAsiaTheme="majorEastAsia" w:cs="Arial"/>
                <w:sz w:val="24"/>
                <w:szCs w:val="24"/>
              </w:rPr>
              <w:t>unid</w:t>
            </w:r>
            <w:proofErr w:type="spellEnd"/>
          </w:p>
        </w:tc>
        <w:tc>
          <w:tcPr>
            <w:tcW w:w="1559" w:type="dxa"/>
            <w:tcBorders>
              <w:top w:val="single" w:sz="6" w:space="0" w:color="auto"/>
              <w:left w:val="single" w:sz="6" w:space="0" w:color="auto"/>
              <w:bottom w:val="single" w:sz="6" w:space="0" w:color="auto"/>
              <w:right w:val="single" w:sz="6" w:space="0" w:color="auto"/>
            </w:tcBorders>
          </w:tcPr>
          <w:p w:rsidR="00CE716E" w:rsidRDefault="00CE716E" w:rsidP="00CE716E">
            <w:pPr>
              <w:spacing w:line="256" w:lineRule="auto"/>
              <w:jc w:val="both"/>
              <w:textAlignment w:val="baseline"/>
              <w:rPr>
                <w:rFonts w:cs="Arial"/>
                <w:color w:val="000000" w:themeColor="text1"/>
                <w:szCs w:val="22"/>
                <w:lang w:eastAsia="pt-BR"/>
              </w:rPr>
            </w:pPr>
          </w:p>
        </w:tc>
      </w:tr>
      <w:tr w:rsidR="00CE716E" w:rsidTr="00E10DEB">
        <w:tc>
          <w:tcPr>
            <w:tcW w:w="701" w:type="dxa"/>
            <w:tcBorders>
              <w:top w:val="single" w:sz="6" w:space="0" w:color="auto"/>
              <w:left w:val="single" w:sz="6" w:space="0" w:color="auto"/>
              <w:bottom w:val="single" w:sz="6" w:space="0" w:color="auto"/>
              <w:right w:val="single" w:sz="6" w:space="0" w:color="auto"/>
            </w:tcBorders>
            <w:hideMark/>
          </w:tcPr>
          <w:p w:rsidR="00CE716E" w:rsidRPr="008061A6" w:rsidRDefault="00CE716E" w:rsidP="00CE716E">
            <w:pPr>
              <w:spacing w:line="256" w:lineRule="auto"/>
              <w:jc w:val="both"/>
              <w:textAlignment w:val="baseline"/>
              <w:rPr>
                <w:rFonts w:cs="Arial"/>
                <w:color w:val="000000" w:themeColor="text1"/>
                <w:szCs w:val="22"/>
                <w:lang w:eastAsia="pt-BR"/>
              </w:rPr>
            </w:pPr>
            <w:r w:rsidRPr="008061A6">
              <w:rPr>
                <w:rFonts w:cs="Arial"/>
                <w:color w:val="000000" w:themeColor="text1"/>
                <w:szCs w:val="22"/>
                <w:lang w:eastAsia="pt-BR"/>
              </w:rPr>
              <w:t>04</w:t>
            </w:r>
          </w:p>
        </w:tc>
        <w:tc>
          <w:tcPr>
            <w:tcW w:w="4536" w:type="dxa"/>
            <w:tcBorders>
              <w:top w:val="single" w:sz="6" w:space="0" w:color="auto"/>
              <w:left w:val="single" w:sz="6" w:space="0" w:color="auto"/>
              <w:bottom w:val="single" w:sz="6" w:space="0" w:color="auto"/>
              <w:right w:val="single" w:sz="6" w:space="0" w:color="auto"/>
            </w:tcBorders>
            <w:vAlign w:val="center"/>
          </w:tcPr>
          <w:p w:rsidR="00CE716E" w:rsidRPr="00CE716E" w:rsidRDefault="00CE716E" w:rsidP="00CE716E">
            <w:pPr>
              <w:rPr>
                <w:rFonts w:eastAsiaTheme="majorEastAsia" w:cs="Arial"/>
                <w:sz w:val="24"/>
                <w:szCs w:val="24"/>
              </w:rPr>
            </w:pPr>
            <w:proofErr w:type="spellStart"/>
            <w:r w:rsidRPr="00CE716E">
              <w:rPr>
                <w:rFonts w:eastAsiaTheme="majorEastAsia" w:cs="Arial"/>
                <w:sz w:val="24"/>
                <w:szCs w:val="24"/>
              </w:rPr>
              <w:t>Buscopam</w:t>
            </w:r>
            <w:proofErr w:type="spellEnd"/>
            <w:r w:rsidRPr="00CE716E">
              <w:rPr>
                <w:rFonts w:eastAsiaTheme="majorEastAsia" w:cs="Arial"/>
                <w:sz w:val="24"/>
                <w:szCs w:val="24"/>
              </w:rPr>
              <w:t xml:space="preserve"> Composto </w:t>
            </w:r>
            <w:proofErr w:type="spellStart"/>
            <w:r w:rsidRPr="00CE716E">
              <w:rPr>
                <w:rFonts w:eastAsiaTheme="majorEastAsia" w:cs="Arial"/>
                <w:sz w:val="24"/>
                <w:szCs w:val="24"/>
              </w:rPr>
              <w:t>Inj</w:t>
            </w:r>
            <w:proofErr w:type="spellEnd"/>
            <w:r w:rsidRPr="00CE716E">
              <w:rPr>
                <w:rFonts w:eastAsiaTheme="majorEastAsia" w:cs="Arial"/>
                <w:sz w:val="24"/>
                <w:szCs w:val="24"/>
              </w:rPr>
              <w:t xml:space="preserve"> C/100 Ampolas</w:t>
            </w:r>
          </w:p>
        </w:tc>
        <w:tc>
          <w:tcPr>
            <w:tcW w:w="1134" w:type="dxa"/>
            <w:tcBorders>
              <w:top w:val="single" w:sz="6" w:space="0" w:color="auto"/>
              <w:left w:val="single" w:sz="6" w:space="0" w:color="auto"/>
              <w:bottom w:val="single" w:sz="6" w:space="0" w:color="auto"/>
              <w:right w:val="single" w:sz="6" w:space="0" w:color="auto"/>
            </w:tcBorders>
            <w:vAlign w:val="center"/>
          </w:tcPr>
          <w:p w:rsidR="00CE716E" w:rsidRPr="00CE716E" w:rsidRDefault="00CE716E" w:rsidP="00CE716E">
            <w:pPr>
              <w:rPr>
                <w:rFonts w:eastAsiaTheme="majorEastAsia" w:cs="Arial"/>
                <w:sz w:val="24"/>
                <w:szCs w:val="24"/>
              </w:rPr>
            </w:pPr>
            <w:r w:rsidRPr="00CE716E">
              <w:rPr>
                <w:rFonts w:eastAsiaTheme="majorEastAsia" w:cs="Arial"/>
                <w:sz w:val="24"/>
                <w:szCs w:val="24"/>
              </w:rPr>
              <w:t>1000</w:t>
            </w:r>
            <w:r>
              <w:rPr>
                <w:rFonts w:eastAsiaTheme="majorEastAsia" w:cs="Arial"/>
                <w:sz w:val="24"/>
                <w:szCs w:val="24"/>
              </w:rPr>
              <w:t xml:space="preserve"> </w:t>
            </w:r>
            <w:proofErr w:type="spellStart"/>
            <w:r>
              <w:rPr>
                <w:rFonts w:eastAsiaTheme="majorEastAsia" w:cs="Arial"/>
                <w:sz w:val="24"/>
                <w:szCs w:val="24"/>
              </w:rPr>
              <w:t>cx</w:t>
            </w:r>
            <w:proofErr w:type="spellEnd"/>
          </w:p>
        </w:tc>
        <w:tc>
          <w:tcPr>
            <w:tcW w:w="1559" w:type="dxa"/>
            <w:tcBorders>
              <w:top w:val="single" w:sz="6" w:space="0" w:color="auto"/>
              <w:left w:val="single" w:sz="6" w:space="0" w:color="auto"/>
              <w:bottom w:val="single" w:sz="6" w:space="0" w:color="auto"/>
              <w:right w:val="single" w:sz="6" w:space="0" w:color="auto"/>
            </w:tcBorders>
          </w:tcPr>
          <w:p w:rsidR="00CE716E" w:rsidRDefault="00CE716E" w:rsidP="00CE716E">
            <w:pPr>
              <w:spacing w:line="256" w:lineRule="auto"/>
              <w:jc w:val="both"/>
              <w:textAlignment w:val="baseline"/>
              <w:rPr>
                <w:rFonts w:cs="Arial"/>
                <w:color w:val="000000" w:themeColor="text1"/>
                <w:szCs w:val="22"/>
                <w:lang w:eastAsia="pt-BR"/>
              </w:rPr>
            </w:pPr>
          </w:p>
        </w:tc>
      </w:tr>
      <w:tr w:rsidR="00CE716E" w:rsidTr="00E10DEB">
        <w:tc>
          <w:tcPr>
            <w:tcW w:w="701" w:type="dxa"/>
            <w:tcBorders>
              <w:top w:val="single" w:sz="6" w:space="0" w:color="auto"/>
              <w:left w:val="single" w:sz="6" w:space="0" w:color="auto"/>
              <w:bottom w:val="single" w:sz="6" w:space="0" w:color="auto"/>
              <w:right w:val="single" w:sz="6" w:space="0" w:color="auto"/>
            </w:tcBorders>
            <w:hideMark/>
          </w:tcPr>
          <w:p w:rsidR="00CE716E" w:rsidRPr="008061A6" w:rsidRDefault="00CE716E" w:rsidP="00CE716E">
            <w:pPr>
              <w:spacing w:line="256" w:lineRule="auto"/>
              <w:jc w:val="both"/>
              <w:textAlignment w:val="baseline"/>
              <w:rPr>
                <w:rFonts w:cs="Arial"/>
                <w:color w:val="000000" w:themeColor="text1"/>
                <w:szCs w:val="22"/>
                <w:lang w:eastAsia="pt-BR"/>
              </w:rPr>
            </w:pPr>
            <w:r w:rsidRPr="008061A6">
              <w:rPr>
                <w:rFonts w:cs="Arial"/>
                <w:color w:val="000000" w:themeColor="text1"/>
                <w:szCs w:val="22"/>
                <w:lang w:eastAsia="pt-BR"/>
              </w:rPr>
              <w:t>05</w:t>
            </w:r>
          </w:p>
        </w:tc>
        <w:tc>
          <w:tcPr>
            <w:tcW w:w="4536" w:type="dxa"/>
            <w:tcBorders>
              <w:top w:val="single" w:sz="6" w:space="0" w:color="auto"/>
              <w:left w:val="single" w:sz="6" w:space="0" w:color="auto"/>
              <w:bottom w:val="single" w:sz="6" w:space="0" w:color="auto"/>
              <w:right w:val="single" w:sz="6" w:space="0" w:color="auto"/>
            </w:tcBorders>
            <w:vAlign w:val="center"/>
          </w:tcPr>
          <w:p w:rsidR="00CE716E" w:rsidRPr="00CE716E" w:rsidRDefault="00CE716E" w:rsidP="00CE716E">
            <w:pPr>
              <w:rPr>
                <w:rFonts w:eastAsiaTheme="majorEastAsia" w:cs="Arial"/>
                <w:sz w:val="24"/>
                <w:szCs w:val="24"/>
              </w:rPr>
            </w:pPr>
            <w:proofErr w:type="spellStart"/>
            <w:r w:rsidRPr="00CE716E">
              <w:rPr>
                <w:rFonts w:eastAsiaTheme="majorEastAsia" w:cs="Arial"/>
                <w:sz w:val="24"/>
                <w:szCs w:val="24"/>
              </w:rPr>
              <w:t>Buscopam</w:t>
            </w:r>
            <w:proofErr w:type="spellEnd"/>
            <w:r w:rsidRPr="00CE716E">
              <w:rPr>
                <w:rFonts w:eastAsiaTheme="majorEastAsia" w:cs="Arial"/>
                <w:sz w:val="24"/>
                <w:szCs w:val="24"/>
              </w:rPr>
              <w:t xml:space="preserve"> Simples </w:t>
            </w:r>
            <w:proofErr w:type="spellStart"/>
            <w:r w:rsidRPr="00CE716E">
              <w:rPr>
                <w:rFonts w:eastAsiaTheme="majorEastAsia" w:cs="Arial"/>
                <w:sz w:val="24"/>
                <w:szCs w:val="24"/>
              </w:rPr>
              <w:t>Inj</w:t>
            </w:r>
            <w:proofErr w:type="spellEnd"/>
            <w:r w:rsidRPr="00CE716E">
              <w:rPr>
                <w:rFonts w:eastAsiaTheme="majorEastAsia" w:cs="Arial"/>
                <w:sz w:val="24"/>
                <w:szCs w:val="24"/>
              </w:rPr>
              <w:t xml:space="preserve"> C/100 Ampolas</w:t>
            </w:r>
          </w:p>
        </w:tc>
        <w:tc>
          <w:tcPr>
            <w:tcW w:w="1134" w:type="dxa"/>
            <w:tcBorders>
              <w:top w:val="single" w:sz="6" w:space="0" w:color="auto"/>
              <w:left w:val="single" w:sz="6" w:space="0" w:color="auto"/>
              <w:bottom w:val="single" w:sz="6" w:space="0" w:color="auto"/>
              <w:right w:val="single" w:sz="6" w:space="0" w:color="auto"/>
            </w:tcBorders>
            <w:vAlign w:val="center"/>
          </w:tcPr>
          <w:p w:rsidR="00CE716E" w:rsidRPr="00CE716E" w:rsidRDefault="00CE716E" w:rsidP="00CE716E">
            <w:pPr>
              <w:rPr>
                <w:rFonts w:eastAsiaTheme="majorEastAsia" w:cs="Arial"/>
                <w:sz w:val="24"/>
                <w:szCs w:val="24"/>
              </w:rPr>
            </w:pPr>
            <w:r w:rsidRPr="00CE716E">
              <w:rPr>
                <w:rFonts w:eastAsiaTheme="majorEastAsia" w:cs="Arial"/>
                <w:sz w:val="24"/>
                <w:szCs w:val="24"/>
              </w:rPr>
              <w:t>1000</w:t>
            </w:r>
            <w:r>
              <w:rPr>
                <w:rFonts w:eastAsiaTheme="majorEastAsia" w:cs="Arial"/>
                <w:sz w:val="24"/>
                <w:szCs w:val="24"/>
              </w:rPr>
              <w:t xml:space="preserve"> </w:t>
            </w:r>
            <w:proofErr w:type="spellStart"/>
            <w:r>
              <w:rPr>
                <w:rFonts w:eastAsiaTheme="majorEastAsia" w:cs="Arial"/>
                <w:sz w:val="24"/>
                <w:szCs w:val="24"/>
              </w:rPr>
              <w:t>cx</w:t>
            </w:r>
            <w:proofErr w:type="spellEnd"/>
          </w:p>
        </w:tc>
        <w:tc>
          <w:tcPr>
            <w:tcW w:w="1559" w:type="dxa"/>
            <w:tcBorders>
              <w:top w:val="single" w:sz="6" w:space="0" w:color="auto"/>
              <w:left w:val="single" w:sz="6" w:space="0" w:color="auto"/>
              <w:bottom w:val="single" w:sz="6" w:space="0" w:color="auto"/>
              <w:right w:val="single" w:sz="6" w:space="0" w:color="auto"/>
            </w:tcBorders>
          </w:tcPr>
          <w:p w:rsidR="00CE716E" w:rsidRDefault="00CE716E" w:rsidP="00CE716E">
            <w:pPr>
              <w:spacing w:line="256" w:lineRule="auto"/>
              <w:jc w:val="both"/>
              <w:textAlignment w:val="baseline"/>
              <w:rPr>
                <w:rFonts w:cs="Arial"/>
                <w:color w:val="000000" w:themeColor="text1"/>
                <w:szCs w:val="22"/>
                <w:lang w:eastAsia="pt-BR"/>
              </w:rPr>
            </w:pPr>
          </w:p>
        </w:tc>
      </w:tr>
      <w:tr w:rsidR="00CE716E" w:rsidTr="00E10DEB">
        <w:tc>
          <w:tcPr>
            <w:tcW w:w="701" w:type="dxa"/>
            <w:tcBorders>
              <w:top w:val="single" w:sz="6" w:space="0" w:color="auto"/>
              <w:left w:val="single" w:sz="6" w:space="0" w:color="auto"/>
              <w:bottom w:val="single" w:sz="6" w:space="0" w:color="auto"/>
              <w:right w:val="single" w:sz="6" w:space="0" w:color="auto"/>
            </w:tcBorders>
            <w:hideMark/>
          </w:tcPr>
          <w:p w:rsidR="00CE716E" w:rsidRPr="008061A6" w:rsidRDefault="00CE716E" w:rsidP="00CE716E">
            <w:pPr>
              <w:spacing w:line="256" w:lineRule="auto"/>
              <w:textAlignment w:val="baseline"/>
              <w:rPr>
                <w:rFonts w:cs="Arial"/>
                <w:bCs/>
                <w:color w:val="000000" w:themeColor="text1"/>
                <w:szCs w:val="22"/>
                <w:lang w:eastAsia="pt-BR"/>
              </w:rPr>
            </w:pPr>
            <w:r w:rsidRPr="008061A6">
              <w:rPr>
                <w:rFonts w:cs="Arial"/>
                <w:bCs/>
                <w:color w:val="000000" w:themeColor="text1"/>
                <w:szCs w:val="22"/>
                <w:lang w:eastAsia="pt-BR"/>
              </w:rPr>
              <w:t>06</w:t>
            </w:r>
          </w:p>
        </w:tc>
        <w:tc>
          <w:tcPr>
            <w:tcW w:w="4536" w:type="dxa"/>
            <w:tcBorders>
              <w:top w:val="single" w:sz="6" w:space="0" w:color="auto"/>
              <w:left w:val="single" w:sz="6" w:space="0" w:color="auto"/>
              <w:bottom w:val="single" w:sz="6" w:space="0" w:color="auto"/>
              <w:right w:val="single" w:sz="6" w:space="0" w:color="auto"/>
            </w:tcBorders>
            <w:vAlign w:val="center"/>
          </w:tcPr>
          <w:p w:rsidR="00CE716E" w:rsidRPr="00CE716E" w:rsidRDefault="00CE716E" w:rsidP="00CE716E">
            <w:pPr>
              <w:rPr>
                <w:rFonts w:eastAsiaTheme="majorEastAsia" w:cs="Arial"/>
                <w:sz w:val="24"/>
                <w:szCs w:val="24"/>
              </w:rPr>
            </w:pPr>
            <w:proofErr w:type="spellStart"/>
            <w:r w:rsidRPr="00CE716E">
              <w:rPr>
                <w:rFonts w:eastAsiaTheme="majorEastAsia" w:cs="Arial"/>
                <w:sz w:val="24"/>
                <w:szCs w:val="24"/>
              </w:rPr>
              <w:t>Ceftriaxona</w:t>
            </w:r>
            <w:proofErr w:type="spellEnd"/>
            <w:r w:rsidRPr="00CE716E">
              <w:rPr>
                <w:rFonts w:eastAsiaTheme="majorEastAsia" w:cs="Arial"/>
                <w:sz w:val="24"/>
                <w:szCs w:val="24"/>
              </w:rPr>
              <w:t xml:space="preserve"> 1g IV </w:t>
            </w:r>
            <w:proofErr w:type="spellStart"/>
            <w:r w:rsidRPr="00CE716E">
              <w:rPr>
                <w:rFonts w:eastAsiaTheme="majorEastAsia" w:cs="Arial"/>
                <w:sz w:val="24"/>
                <w:szCs w:val="24"/>
              </w:rPr>
              <w:t>Cx</w:t>
            </w:r>
            <w:proofErr w:type="spellEnd"/>
            <w:r w:rsidRPr="00CE716E">
              <w:rPr>
                <w:rFonts w:eastAsiaTheme="majorEastAsia" w:cs="Arial"/>
                <w:sz w:val="24"/>
                <w:szCs w:val="24"/>
              </w:rPr>
              <w:t xml:space="preserve"> C/50 Frascos</w:t>
            </w:r>
          </w:p>
        </w:tc>
        <w:tc>
          <w:tcPr>
            <w:tcW w:w="1134" w:type="dxa"/>
            <w:tcBorders>
              <w:top w:val="single" w:sz="6" w:space="0" w:color="auto"/>
              <w:left w:val="single" w:sz="6" w:space="0" w:color="auto"/>
              <w:bottom w:val="single" w:sz="6" w:space="0" w:color="auto"/>
              <w:right w:val="single" w:sz="6" w:space="0" w:color="auto"/>
            </w:tcBorders>
            <w:vAlign w:val="center"/>
          </w:tcPr>
          <w:p w:rsidR="00CE716E" w:rsidRPr="00CE716E" w:rsidRDefault="00CE716E" w:rsidP="00CE716E">
            <w:pPr>
              <w:rPr>
                <w:rFonts w:eastAsiaTheme="majorEastAsia" w:cs="Arial"/>
                <w:sz w:val="24"/>
                <w:szCs w:val="24"/>
              </w:rPr>
            </w:pPr>
            <w:r w:rsidRPr="00CE716E">
              <w:rPr>
                <w:rFonts w:eastAsiaTheme="majorEastAsia" w:cs="Arial"/>
                <w:sz w:val="24"/>
                <w:szCs w:val="24"/>
              </w:rPr>
              <w:t>1000</w:t>
            </w:r>
            <w:r>
              <w:rPr>
                <w:rFonts w:eastAsiaTheme="majorEastAsia" w:cs="Arial"/>
                <w:sz w:val="24"/>
                <w:szCs w:val="24"/>
              </w:rPr>
              <w:t xml:space="preserve"> </w:t>
            </w:r>
            <w:proofErr w:type="spellStart"/>
            <w:r>
              <w:rPr>
                <w:rFonts w:eastAsiaTheme="majorEastAsia" w:cs="Arial"/>
                <w:sz w:val="24"/>
                <w:szCs w:val="24"/>
              </w:rPr>
              <w:t>cx</w:t>
            </w:r>
            <w:proofErr w:type="spellEnd"/>
          </w:p>
        </w:tc>
        <w:tc>
          <w:tcPr>
            <w:tcW w:w="1559" w:type="dxa"/>
            <w:tcBorders>
              <w:top w:val="single" w:sz="6" w:space="0" w:color="auto"/>
              <w:left w:val="single" w:sz="6" w:space="0" w:color="auto"/>
              <w:bottom w:val="single" w:sz="6" w:space="0" w:color="auto"/>
              <w:right w:val="single" w:sz="6" w:space="0" w:color="auto"/>
            </w:tcBorders>
          </w:tcPr>
          <w:p w:rsidR="00CE716E" w:rsidRDefault="00CE716E" w:rsidP="00CE716E">
            <w:pPr>
              <w:spacing w:line="256" w:lineRule="auto"/>
              <w:textAlignment w:val="baseline"/>
              <w:rPr>
                <w:rFonts w:cs="Arial"/>
                <w:bCs/>
                <w:color w:val="000000" w:themeColor="text1"/>
                <w:szCs w:val="22"/>
                <w:lang w:eastAsia="pt-BR"/>
              </w:rPr>
            </w:pPr>
          </w:p>
        </w:tc>
      </w:tr>
      <w:tr w:rsidR="00CE716E" w:rsidTr="00E10DEB">
        <w:tc>
          <w:tcPr>
            <w:tcW w:w="701" w:type="dxa"/>
            <w:tcBorders>
              <w:top w:val="single" w:sz="6" w:space="0" w:color="auto"/>
              <w:left w:val="single" w:sz="6" w:space="0" w:color="auto"/>
              <w:bottom w:val="single" w:sz="6" w:space="0" w:color="auto"/>
              <w:right w:val="single" w:sz="6" w:space="0" w:color="auto"/>
            </w:tcBorders>
            <w:hideMark/>
          </w:tcPr>
          <w:p w:rsidR="00CE716E" w:rsidRPr="008061A6" w:rsidRDefault="00CE716E" w:rsidP="00CE716E">
            <w:pPr>
              <w:spacing w:line="256" w:lineRule="auto"/>
              <w:jc w:val="both"/>
              <w:textAlignment w:val="baseline"/>
              <w:rPr>
                <w:rFonts w:cs="Arial"/>
                <w:color w:val="000000" w:themeColor="text1"/>
                <w:szCs w:val="22"/>
                <w:lang w:eastAsia="pt-BR"/>
              </w:rPr>
            </w:pPr>
            <w:r w:rsidRPr="008061A6">
              <w:rPr>
                <w:rFonts w:cs="Arial"/>
                <w:color w:val="000000" w:themeColor="text1"/>
                <w:szCs w:val="22"/>
                <w:lang w:eastAsia="pt-BR"/>
              </w:rPr>
              <w:t>07</w:t>
            </w:r>
          </w:p>
        </w:tc>
        <w:tc>
          <w:tcPr>
            <w:tcW w:w="4536" w:type="dxa"/>
            <w:tcBorders>
              <w:top w:val="single" w:sz="6" w:space="0" w:color="auto"/>
              <w:left w:val="single" w:sz="6" w:space="0" w:color="auto"/>
              <w:bottom w:val="single" w:sz="6" w:space="0" w:color="auto"/>
              <w:right w:val="single" w:sz="6" w:space="0" w:color="auto"/>
            </w:tcBorders>
            <w:vAlign w:val="center"/>
          </w:tcPr>
          <w:p w:rsidR="00CE716E" w:rsidRPr="00CE716E" w:rsidRDefault="00CE716E" w:rsidP="00CE716E">
            <w:pPr>
              <w:rPr>
                <w:rFonts w:eastAsiaTheme="majorEastAsia" w:cs="Arial"/>
                <w:sz w:val="24"/>
                <w:szCs w:val="24"/>
              </w:rPr>
            </w:pPr>
            <w:proofErr w:type="spellStart"/>
            <w:r w:rsidRPr="00CE716E">
              <w:rPr>
                <w:rFonts w:eastAsiaTheme="majorEastAsia" w:cs="Arial"/>
                <w:sz w:val="24"/>
                <w:szCs w:val="24"/>
              </w:rPr>
              <w:t>Ceftriaxona</w:t>
            </w:r>
            <w:proofErr w:type="spellEnd"/>
            <w:r w:rsidRPr="00CE716E">
              <w:rPr>
                <w:rFonts w:eastAsiaTheme="majorEastAsia" w:cs="Arial"/>
                <w:sz w:val="24"/>
                <w:szCs w:val="24"/>
              </w:rPr>
              <w:t xml:space="preserve"> 1g IM </w:t>
            </w:r>
            <w:proofErr w:type="spellStart"/>
            <w:r w:rsidRPr="00CE716E">
              <w:rPr>
                <w:rFonts w:eastAsiaTheme="majorEastAsia" w:cs="Arial"/>
                <w:sz w:val="24"/>
                <w:szCs w:val="24"/>
              </w:rPr>
              <w:t>Cx</w:t>
            </w:r>
            <w:proofErr w:type="spellEnd"/>
            <w:r w:rsidRPr="00CE716E">
              <w:rPr>
                <w:rFonts w:eastAsiaTheme="majorEastAsia" w:cs="Arial"/>
                <w:sz w:val="24"/>
                <w:szCs w:val="24"/>
              </w:rPr>
              <w:t xml:space="preserve"> C/50 Frascos</w:t>
            </w:r>
          </w:p>
        </w:tc>
        <w:tc>
          <w:tcPr>
            <w:tcW w:w="1134" w:type="dxa"/>
            <w:tcBorders>
              <w:top w:val="single" w:sz="6" w:space="0" w:color="auto"/>
              <w:left w:val="single" w:sz="6" w:space="0" w:color="auto"/>
              <w:bottom w:val="single" w:sz="6" w:space="0" w:color="auto"/>
              <w:right w:val="single" w:sz="6" w:space="0" w:color="auto"/>
            </w:tcBorders>
            <w:vAlign w:val="center"/>
          </w:tcPr>
          <w:p w:rsidR="00CE716E" w:rsidRPr="00CE716E" w:rsidRDefault="00CE716E" w:rsidP="00CE716E">
            <w:pPr>
              <w:rPr>
                <w:rFonts w:eastAsiaTheme="majorEastAsia" w:cs="Arial"/>
                <w:sz w:val="24"/>
                <w:szCs w:val="24"/>
              </w:rPr>
            </w:pPr>
            <w:r w:rsidRPr="00CE716E">
              <w:rPr>
                <w:rFonts w:eastAsiaTheme="majorEastAsia" w:cs="Arial"/>
                <w:sz w:val="24"/>
                <w:szCs w:val="24"/>
              </w:rPr>
              <w:t>1000</w:t>
            </w:r>
            <w:r>
              <w:rPr>
                <w:rFonts w:eastAsiaTheme="majorEastAsia" w:cs="Arial"/>
                <w:sz w:val="24"/>
                <w:szCs w:val="24"/>
              </w:rPr>
              <w:t xml:space="preserve"> </w:t>
            </w:r>
            <w:proofErr w:type="spellStart"/>
            <w:r>
              <w:rPr>
                <w:rFonts w:eastAsiaTheme="majorEastAsia" w:cs="Arial"/>
                <w:sz w:val="24"/>
                <w:szCs w:val="24"/>
              </w:rPr>
              <w:t>cx</w:t>
            </w:r>
            <w:proofErr w:type="spellEnd"/>
          </w:p>
        </w:tc>
        <w:tc>
          <w:tcPr>
            <w:tcW w:w="1559" w:type="dxa"/>
            <w:tcBorders>
              <w:top w:val="single" w:sz="6" w:space="0" w:color="auto"/>
              <w:left w:val="single" w:sz="6" w:space="0" w:color="auto"/>
              <w:bottom w:val="single" w:sz="6" w:space="0" w:color="auto"/>
              <w:right w:val="single" w:sz="6" w:space="0" w:color="auto"/>
            </w:tcBorders>
          </w:tcPr>
          <w:p w:rsidR="00CE716E" w:rsidRDefault="00CE716E" w:rsidP="00CE716E">
            <w:pPr>
              <w:spacing w:line="256" w:lineRule="auto"/>
              <w:jc w:val="both"/>
              <w:textAlignment w:val="baseline"/>
              <w:rPr>
                <w:rFonts w:cs="Arial"/>
                <w:color w:val="000000" w:themeColor="text1"/>
                <w:szCs w:val="22"/>
                <w:lang w:eastAsia="pt-BR"/>
              </w:rPr>
            </w:pPr>
          </w:p>
        </w:tc>
      </w:tr>
      <w:tr w:rsidR="00CE716E" w:rsidTr="00E10DEB">
        <w:tc>
          <w:tcPr>
            <w:tcW w:w="701" w:type="dxa"/>
            <w:tcBorders>
              <w:top w:val="single" w:sz="6" w:space="0" w:color="auto"/>
              <w:left w:val="single" w:sz="6" w:space="0" w:color="auto"/>
              <w:bottom w:val="single" w:sz="6" w:space="0" w:color="auto"/>
              <w:right w:val="single" w:sz="6" w:space="0" w:color="auto"/>
            </w:tcBorders>
            <w:hideMark/>
          </w:tcPr>
          <w:p w:rsidR="00CE716E" w:rsidRPr="008061A6" w:rsidRDefault="00CE716E" w:rsidP="00CE716E">
            <w:pPr>
              <w:spacing w:line="256" w:lineRule="auto"/>
              <w:jc w:val="both"/>
              <w:textAlignment w:val="baseline"/>
              <w:rPr>
                <w:rFonts w:cs="Arial"/>
                <w:color w:val="000000" w:themeColor="text1"/>
                <w:szCs w:val="22"/>
                <w:lang w:eastAsia="pt-BR"/>
              </w:rPr>
            </w:pPr>
            <w:r w:rsidRPr="008061A6">
              <w:rPr>
                <w:rFonts w:cs="Arial"/>
                <w:color w:val="000000" w:themeColor="text1"/>
                <w:szCs w:val="22"/>
                <w:lang w:eastAsia="pt-BR"/>
              </w:rPr>
              <w:t>08</w:t>
            </w:r>
          </w:p>
        </w:tc>
        <w:tc>
          <w:tcPr>
            <w:tcW w:w="4536" w:type="dxa"/>
            <w:tcBorders>
              <w:top w:val="single" w:sz="6" w:space="0" w:color="auto"/>
              <w:left w:val="single" w:sz="6" w:space="0" w:color="auto"/>
              <w:bottom w:val="single" w:sz="6" w:space="0" w:color="auto"/>
              <w:right w:val="single" w:sz="6" w:space="0" w:color="auto"/>
            </w:tcBorders>
            <w:vAlign w:val="center"/>
          </w:tcPr>
          <w:p w:rsidR="00CE716E" w:rsidRPr="00CE716E" w:rsidRDefault="00CE716E" w:rsidP="00CE716E">
            <w:pPr>
              <w:rPr>
                <w:rFonts w:eastAsiaTheme="majorEastAsia" w:cs="Arial"/>
                <w:sz w:val="24"/>
                <w:szCs w:val="24"/>
              </w:rPr>
            </w:pPr>
            <w:r w:rsidRPr="00CE716E">
              <w:rPr>
                <w:rFonts w:eastAsiaTheme="majorEastAsia" w:cs="Arial"/>
                <w:sz w:val="24"/>
                <w:szCs w:val="24"/>
              </w:rPr>
              <w:t xml:space="preserve">Clonidina 150mg 1ml </w:t>
            </w:r>
            <w:proofErr w:type="spellStart"/>
            <w:r w:rsidRPr="00CE716E">
              <w:rPr>
                <w:rFonts w:eastAsiaTheme="majorEastAsia" w:cs="Arial"/>
                <w:sz w:val="24"/>
                <w:szCs w:val="24"/>
              </w:rPr>
              <w:t>Cx</w:t>
            </w:r>
            <w:proofErr w:type="spellEnd"/>
            <w:r w:rsidRPr="00CE716E">
              <w:rPr>
                <w:rFonts w:eastAsiaTheme="majorEastAsia" w:cs="Arial"/>
                <w:sz w:val="24"/>
                <w:szCs w:val="24"/>
              </w:rPr>
              <w:t xml:space="preserve"> C/30 Ampolas</w:t>
            </w:r>
          </w:p>
        </w:tc>
        <w:tc>
          <w:tcPr>
            <w:tcW w:w="1134" w:type="dxa"/>
            <w:tcBorders>
              <w:top w:val="single" w:sz="6" w:space="0" w:color="auto"/>
              <w:left w:val="single" w:sz="6" w:space="0" w:color="auto"/>
              <w:bottom w:val="single" w:sz="6" w:space="0" w:color="auto"/>
              <w:right w:val="single" w:sz="6" w:space="0" w:color="auto"/>
            </w:tcBorders>
            <w:vAlign w:val="center"/>
          </w:tcPr>
          <w:p w:rsidR="00CE716E" w:rsidRPr="00CE716E" w:rsidRDefault="00CE716E" w:rsidP="00CE716E">
            <w:pPr>
              <w:rPr>
                <w:rFonts w:eastAsiaTheme="majorEastAsia" w:cs="Arial"/>
                <w:sz w:val="24"/>
                <w:szCs w:val="24"/>
              </w:rPr>
            </w:pPr>
            <w:r w:rsidRPr="00CE716E">
              <w:rPr>
                <w:rFonts w:eastAsiaTheme="majorEastAsia" w:cs="Arial"/>
                <w:sz w:val="24"/>
                <w:szCs w:val="24"/>
              </w:rPr>
              <w:t>1000</w:t>
            </w:r>
            <w:r>
              <w:rPr>
                <w:rFonts w:eastAsiaTheme="majorEastAsia" w:cs="Arial"/>
                <w:sz w:val="24"/>
                <w:szCs w:val="24"/>
              </w:rPr>
              <w:t xml:space="preserve"> </w:t>
            </w:r>
            <w:proofErr w:type="spellStart"/>
            <w:r>
              <w:rPr>
                <w:rFonts w:eastAsiaTheme="majorEastAsia" w:cs="Arial"/>
                <w:sz w:val="24"/>
                <w:szCs w:val="24"/>
              </w:rPr>
              <w:t>cx</w:t>
            </w:r>
            <w:proofErr w:type="spellEnd"/>
          </w:p>
        </w:tc>
        <w:tc>
          <w:tcPr>
            <w:tcW w:w="1559" w:type="dxa"/>
            <w:tcBorders>
              <w:top w:val="single" w:sz="6" w:space="0" w:color="auto"/>
              <w:left w:val="single" w:sz="6" w:space="0" w:color="auto"/>
              <w:bottom w:val="single" w:sz="6" w:space="0" w:color="auto"/>
              <w:right w:val="single" w:sz="6" w:space="0" w:color="auto"/>
            </w:tcBorders>
          </w:tcPr>
          <w:p w:rsidR="00CE716E" w:rsidRDefault="00CE716E" w:rsidP="00CE716E">
            <w:pPr>
              <w:spacing w:line="256" w:lineRule="auto"/>
              <w:jc w:val="both"/>
              <w:textAlignment w:val="baseline"/>
              <w:rPr>
                <w:rFonts w:cs="Arial"/>
                <w:color w:val="000000" w:themeColor="text1"/>
                <w:szCs w:val="22"/>
                <w:lang w:eastAsia="pt-BR"/>
              </w:rPr>
            </w:pPr>
          </w:p>
        </w:tc>
      </w:tr>
      <w:tr w:rsidR="00CE716E" w:rsidTr="00E10DEB">
        <w:tc>
          <w:tcPr>
            <w:tcW w:w="701" w:type="dxa"/>
            <w:tcBorders>
              <w:top w:val="single" w:sz="6" w:space="0" w:color="auto"/>
              <w:left w:val="single" w:sz="6" w:space="0" w:color="auto"/>
              <w:bottom w:val="single" w:sz="6" w:space="0" w:color="auto"/>
              <w:right w:val="single" w:sz="6" w:space="0" w:color="auto"/>
            </w:tcBorders>
            <w:hideMark/>
          </w:tcPr>
          <w:p w:rsidR="00CE716E" w:rsidRPr="008061A6" w:rsidRDefault="00CE716E" w:rsidP="00CE716E">
            <w:pPr>
              <w:spacing w:line="256" w:lineRule="auto"/>
              <w:jc w:val="both"/>
              <w:textAlignment w:val="baseline"/>
              <w:rPr>
                <w:rFonts w:cs="Arial"/>
                <w:i/>
                <w:color w:val="000000" w:themeColor="text1"/>
                <w:szCs w:val="22"/>
                <w:lang w:eastAsia="pt-BR"/>
              </w:rPr>
            </w:pPr>
            <w:r w:rsidRPr="008061A6">
              <w:rPr>
                <w:rFonts w:cs="Arial"/>
                <w:i/>
                <w:color w:val="000000" w:themeColor="text1"/>
                <w:szCs w:val="22"/>
                <w:lang w:eastAsia="pt-BR"/>
              </w:rPr>
              <w:t>09</w:t>
            </w:r>
          </w:p>
        </w:tc>
        <w:tc>
          <w:tcPr>
            <w:tcW w:w="4536" w:type="dxa"/>
            <w:tcBorders>
              <w:top w:val="single" w:sz="6" w:space="0" w:color="auto"/>
              <w:left w:val="single" w:sz="6" w:space="0" w:color="auto"/>
              <w:bottom w:val="single" w:sz="6" w:space="0" w:color="auto"/>
              <w:right w:val="single" w:sz="6" w:space="0" w:color="auto"/>
            </w:tcBorders>
            <w:vAlign w:val="center"/>
          </w:tcPr>
          <w:p w:rsidR="00CE716E" w:rsidRPr="00CE716E" w:rsidRDefault="00CE716E" w:rsidP="00CE716E">
            <w:pPr>
              <w:rPr>
                <w:rFonts w:eastAsiaTheme="majorEastAsia" w:cs="Arial"/>
                <w:sz w:val="24"/>
                <w:szCs w:val="24"/>
              </w:rPr>
            </w:pPr>
            <w:proofErr w:type="spellStart"/>
            <w:r w:rsidRPr="00CE716E">
              <w:rPr>
                <w:rFonts w:eastAsiaTheme="majorEastAsia" w:cs="Arial"/>
                <w:sz w:val="24"/>
                <w:szCs w:val="24"/>
              </w:rPr>
              <w:t>Diclofenaco</w:t>
            </w:r>
            <w:proofErr w:type="spellEnd"/>
            <w:r w:rsidRPr="00CE716E">
              <w:rPr>
                <w:rFonts w:eastAsiaTheme="majorEastAsia" w:cs="Arial"/>
                <w:sz w:val="24"/>
                <w:szCs w:val="24"/>
              </w:rPr>
              <w:t xml:space="preserve"> de Sódio 75mg 2ml </w:t>
            </w:r>
            <w:proofErr w:type="spellStart"/>
            <w:r w:rsidRPr="00CE716E">
              <w:rPr>
                <w:rFonts w:eastAsiaTheme="majorEastAsia" w:cs="Arial"/>
                <w:sz w:val="24"/>
                <w:szCs w:val="24"/>
              </w:rPr>
              <w:t>Cx</w:t>
            </w:r>
            <w:proofErr w:type="spellEnd"/>
            <w:r w:rsidRPr="00CE716E">
              <w:rPr>
                <w:rFonts w:eastAsiaTheme="majorEastAsia" w:cs="Arial"/>
                <w:sz w:val="24"/>
                <w:szCs w:val="24"/>
              </w:rPr>
              <w:t xml:space="preserve"> C/100 Ampolas</w:t>
            </w:r>
          </w:p>
        </w:tc>
        <w:tc>
          <w:tcPr>
            <w:tcW w:w="1134" w:type="dxa"/>
            <w:tcBorders>
              <w:top w:val="single" w:sz="6" w:space="0" w:color="auto"/>
              <w:left w:val="single" w:sz="6" w:space="0" w:color="auto"/>
              <w:bottom w:val="single" w:sz="6" w:space="0" w:color="auto"/>
              <w:right w:val="single" w:sz="6" w:space="0" w:color="auto"/>
            </w:tcBorders>
            <w:vAlign w:val="center"/>
          </w:tcPr>
          <w:p w:rsidR="00CE716E" w:rsidRPr="00CE716E" w:rsidRDefault="00CE716E" w:rsidP="00CE716E">
            <w:pPr>
              <w:rPr>
                <w:rFonts w:eastAsiaTheme="majorEastAsia" w:cs="Arial"/>
                <w:sz w:val="24"/>
                <w:szCs w:val="24"/>
              </w:rPr>
            </w:pPr>
            <w:r w:rsidRPr="00CE716E">
              <w:rPr>
                <w:rFonts w:eastAsiaTheme="majorEastAsia" w:cs="Arial"/>
                <w:sz w:val="24"/>
                <w:szCs w:val="24"/>
              </w:rPr>
              <w:t>1000</w:t>
            </w:r>
            <w:r>
              <w:rPr>
                <w:rFonts w:eastAsiaTheme="majorEastAsia" w:cs="Arial"/>
                <w:sz w:val="24"/>
                <w:szCs w:val="24"/>
              </w:rPr>
              <w:t xml:space="preserve"> </w:t>
            </w:r>
            <w:proofErr w:type="spellStart"/>
            <w:r>
              <w:rPr>
                <w:rFonts w:eastAsiaTheme="majorEastAsia" w:cs="Arial"/>
                <w:sz w:val="24"/>
                <w:szCs w:val="24"/>
              </w:rPr>
              <w:t>cx</w:t>
            </w:r>
            <w:proofErr w:type="spellEnd"/>
          </w:p>
        </w:tc>
        <w:tc>
          <w:tcPr>
            <w:tcW w:w="1559" w:type="dxa"/>
            <w:tcBorders>
              <w:top w:val="single" w:sz="6" w:space="0" w:color="auto"/>
              <w:left w:val="single" w:sz="6" w:space="0" w:color="auto"/>
              <w:bottom w:val="single" w:sz="6" w:space="0" w:color="auto"/>
              <w:right w:val="single" w:sz="6" w:space="0" w:color="auto"/>
            </w:tcBorders>
          </w:tcPr>
          <w:p w:rsidR="00CE716E" w:rsidRDefault="00CE716E" w:rsidP="00CE716E">
            <w:pPr>
              <w:spacing w:line="256" w:lineRule="auto"/>
              <w:jc w:val="both"/>
              <w:textAlignment w:val="baseline"/>
              <w:rPr>
                <w:rFonts w:cs="Arial"/>
                <w:color w:val="000000" w:themeColor="text1"/>
                <w:szCs w:val="22"/>
                <w:lang w:eastAsia="pt-BR"/>
              </w:rPr>
            </w:pPr>
          </w:p>
        </w:tc>
      </w:tr>
      <w:tr w:rsidR="00CE716E" w:rsidTr="00E10DEB">
        <w:tc>
          <w:tcPr>
            <w:tcW w:w="701" w:type="dxa"/>
            <w:tcBorders>
              <w:top w:val="single" w:sz="6" w:space="0" w:color="auto"/>
              <w:left w:val="single" w:sz="6" w:space="0" w:color="auto"/>
              <w:bottom w:val="single" w:sz="6" w:space="0" w:color="auto"/>
              <w:right w:val="single" w:sz="6" w:space="0" w:color="auto"/>
            </w:tcBorders>
            <w:hideMark/>
          </w:tcPr>
          <w:p w:rsidR="00CE716E" w:rsidRPr="008061A6" w:rsidRDefault="00CE716E" w:rsidP="00CE716E">
            <w:pPr>
              <w:spacing w:line="256" w:lineRule="auto"/>
              <w:jc w:val="both"/>
              <w:textAlignment w:val="baseline"/>
              <w:rPr>
                <w:rFonts w:cs="Arial"/>
                <w:color w:val="000000" w:themeColor="text1"/>
                <w:szCs w:val="22"/>
                <w:lang w:eastAsia="pt-BR"/>
              </w:rPr>
            </w:pPr>
            <w:r w:rsidRPr="008061A6">
              <w:rPr>
                <w:rFonts w:cs="Arial"/>
                <w:color w:val="000000" w:themeColor="text1"/>
                <w:szCs w:val="22"/>
                <w:lang w:eastAsia="pt-BR"/>
              </w:rPr>
              <w:t>10</w:t>
            </w:r>
          </w:p>
        </w:tc>
        <w:tc>
          <w:tcPr>
            <w:tcW w:w="4536" w:type="dxa"/>
            <w:tcBorders>
              <w:top w:val="single" w:sz="6" w:space="0" w:color="auto"/>
              <w:left w:val="single" w:sz="6" w:space="0" w:color="auto"/>
              <w:bottom w:val="single" w:sz="6" w:space="0" w:color="auto"/>
              <w:right w:val="single" w:sz="6" w:space="0" w:color="auto"/>
            </w:tcBorders>
            <w:vAlign w:val="center"/>
          </w:tcPr>
          <w:p w:rsidR="00CE716E" w:rsidRPr="00CE716E" w:rsidRDefault="00CE716E" w:rsidP="00CE716E">
            <w:pPr>
              <w:rPr>
                <w:rFonts w:eastAsiaTheme="majorEastAsia" w:cs="Arial"/>
                <w:sz w:val="24"/>
                <w:szCs w:val="24"/>
              </w:rPr>
            </w:pPr>
            <w:r w:rsidRPr="00CE716E">
              <w:rPr>
                <w:rFonts w:eastAsiaTheme="majorEastAsia" w:cs="Arial"/>
                <w:sz w:val="24"/>
                <w:szCs w:val="24"/>
              </w:rPr>
              <w:t xml:space="preserve">Dipirona 1g 2ml </w:t>
            </w:r>
            <w:proofErr w:type="spellStart"/>
            <w:r w:rsidRPr="00CE716E">
              <w:rPr>
                <w:rFonts w:eastAsiaTheme="majorEastAsia" w:cs="Arial"/>
                <w:sz w:val="24"/>
                <w:szCs w:val="24"/>
              </w:rPr>
              <w:t>Cx</w:t>
            </w:r>
            <w:proofErr w:type="spellEnd"/>
            <w:r w:rsidRPr="00CE716E">
              <w:rPr>
                <w:rFonts w:eastAsiaTheme="majorEastAsia" w:cs="Arial"/>
                <w:sz w:val="24"/>
                <w:szCs w:val="24"/>
              </w:rPr>
              <w:t xml:space="preserve"> C/100 Ampolas</w:t>
            </w:r>
          </w:p>
        </w:tc>
        <w:tc>
          <w:tcPr>
            <w:tcW w:w="1134" w:type="dxa"/>
            <w:tcBorders>
              <w:top w:val="single" w:sz="6" w:space="0" w:color="auto"/>
              <w:left w:val="single" w:sz="6" w:space="0" w:color="auto"/>
              <w:bottom w:val="single" w:sz="6" w:space="0" w:color="auto"/>
              <w:right w:val="single" w:sz="6" w:space="0" w:color="auto"/>
            </w:tcBorders>
            <w:vAlign w:val="center"/>
          </w:tcPr>
          <w:p w:rsidR="00CE716E" w:rsidRPr="00CE716E" w:rsidRDefault="00CE716E" w:rsidP="00CE716E">
            <w:pPr>
              <w:rPr>
                <w:rFonts w:eastAsiaTheme="majorEastAsia" w:cs="Arial"/>
                <w:sz w:val="24"/>
                <w:szCs w:val="24"/>
              </w:rPr>
            </w:pPr>
            <w:r w:rsidRPr="00CE716E">
              <w:rPr>
                <w:rFonts w:eastAsiaTheme="majorEastAsia" w:cs="Arial"/>
                <w:sz w:val="24"/>
                <w:szCs w:val="24"/>
              </w:rPr>
              <w:t>1000</w:t>
            </w:r>
            <w:r>
              <w:rPr>
                <w:rFonts w:eastAsiaTheme="majorEastAsia" w:cs="Arial"/>
                <w:sz w:val="24"/>
                <w:szCs w:val="24"/>
              </w:rPr>
              <w:t xml:space="preserve"> </w:t>
            </w:r>
            <w:proofErr w:type="spellStart"/>
            <w:r>
              <w:rPr>
                <w:rFonts w:eastAsiaTheme="majorEastAsia" w:cs="Arial"/>
                <w:sz w:val="24"/>
                <w:szCs w:val="24"/>
              </w:rPr>
              <w:t>cx</w:t>
            </w:r>
            <w:proofErr w:type="spellEnd"/>
          </w:p>
        </w:tc>
        <w:tc>
          <w:tcPr>
            <w:tcW w:w="1559" w:type="dxa"/>
            <w:tcBorders>
              <w:top w:val="single" w:sz="6" w:space="0" w:color="auto"/>
              <w:left w:val="single" w:sz="6" w:space="0" w:color="auto"/>
              <w:bottom w:val="single" w:sz="6" w:space="0" w:color="auto"/>
              <w:right w:val="single" w:sz="6" w:space="0" w:color="auto"/>
            </w:tcBorders>
          </w:tcPr>
          <w:p w:rsidR="00CE716E" w:rsidRDefault="00CE716E" w:rsidP="00CE716E">
            <w:pPr>
              <w:spacing w:line="256" w:lineRule="auto"/>
              <w:jc w:val="both"/>
              <w:textAlignment w:val="baseline"/>
              <w:rPr>
                <w:rFonts w:cs="Arial"/>
                <w:color w:val="000000" w:themeColor="text1"/>
                <w:szCs w:val="22"/>
                <w:lang w:eastAsia="pt-BR"/>
              </w:rPr>
            </w:pPr>
          </w:p>
        </w:tc>
      </w:tr>
      <w:tr w:rsidR="00CE716E" w:rsidTr="00E10DEB">
        <w:tc>
          <w:tcPr>
            <w:tcW w:w="701" w:type="dxa"/>
            <w:tcBorders>
              <w:top w:val="single" w:sz="6" w:space="0" w:color="auto"/>
              <w:left w:val="single" w:sz="6" w:space="0" w:color="auto"/>
              <w:bottom w:val="single" w:sz="6" w:space="0" w:color="auto"/>
              <w:right w:val="single" w:sz="6" w:space="0" w:color="auto"/>
            </w:tcBorders>
            <w:hideMark/>
          </w:tcPr>
          <w:p w:rsidR="00CE716E" w:rsidRPr="008061A6" w:rsidRDefault="00CE716E" w:rsidP="00CE716E">
            <w:pPr>
              <w:spacing w:line="256" w:lineRule="auto"/>
              <w:jc w:val="both"/>
              <w:textAlignment w:val="baseline"/>
              <w:rPr>
                <w:rFonts w:cs="Arial"/>
                <w:color w:val="000000" w:themeColor="text1"/>
                <w:szCs w:val="22"/>
                <w:lang w:eastAsia="pt-BR"/>
              </w:rPr>
            </w:pPr>
            <w:r w:rsidRPr="008061A6">
              <w:rPr>
                <w:rFonts w:cs="Arial"/>
                <w:color w:val="000000" w:themeColor="text1"/>
                <w:szCs w:val="22"/>
                <w:lang w:eastAsia="pt-BR"/>
              </w:rPr>
              <w:t>11</w:t>
            </w:r>
          </w:p>
        </w:tc>
        <w:tc>
          <w:tcPr>
            <w:tcW w:w="4536" w:type="dxa"/>
            <w:tcBorders>
              <w:top w:val="single" w:sz="6" w:space="0" w:color="auto"/>
              <w:left w:val="single" w:sz="6" w:space="0" w:color="auto"/>
              <w:bottom w:val="single" w:sz="6" w:space="0" w:color="auto"/>
              <w:right w:val="single" w:sz="6" w:space="0" w:color="auto"/>
            </w:tcBorders>
            <w:vAlign w:val="center"/>
          </w:tcPr>
          <w:p w:rsidR="00CE716E" w:rsidRPr="00CE716E" w:rsidRDefault="00CE716E" w:rsidP="00CE716E">
            <w:pPr>
              <w:rPr>
                <w:rFonts w:eastAsiaTheme="majorEastAsia" w:cs="Arial"/>
                <w:sz w:val="24"/>
                <w:szCs w:val="24"/>
              </w:rPr>
            </w:pPr>
            <w:proofErr w:type="spellStart"/>
            <w:r w:rsidRPr="00CE716E">
              <w:rPr>
                <w:rFonts w:eastAsiaTheme="majorEastAsia" w:cs="Arial"/>
                <w:sz w:val="24"/>
                <w:szCs w:val="24"/>
              </w:rPr>
              <w:t>Regencel</w:t>
            </w:r>
            <w:proofErr w:type="spellEnd"/>
            <w:r w:rsidRPr="00CE716E">
              <w:rPr>
                <w:rFonts w:eastAsiaTheme="majorEastAsia" w:cs="Arial"/>
                <w:sz w:val="24"/>
                <w:szCs w:val="24"/>
              </w:rPr>
              <w:t xml:space="preserve"> Pomada Oftálmica</w:t>
            </w:r>
          </w:p>
        </w:tc>
        <w:tc>
          <w:tcPr>
            <w:tcW w:w="1134" w:type="dxa"/>
            <w:tcBorders>
              <w:top w:val="single" w:sz="6" w:space="0" w:color="auto"/>
              <w:left w:val="single" w:sz="6" w:space="0" w:color="auto"/>
              <w:bottom w:val="single" w:sz="6" w:space="0" w:color="auto"/>
              <w:right w:val="single" w:sz="6" w:space="0" w:color="auto"/>
            </w:tcBorders>
            <w:vAlign w:val="center"/>
          </w:tcPr>
          <w:p w:rsidR="00CE716E" w:rsidRPr="00CE716E" w:rsidRDefault="00CE716E" w:rsidP="00CE716E">
            <w:pPr>
              <w:rPr>
                <w:rFonts w:eastAsiaTheme="majorEastAsia" w:cs="Arial"/>
                <w:sz w:val="24"/>
                <w:szCs w:val="24"/>
              </w:rPr>
            </w:pPr>
            <w:r w:rsidRPr="00CE716E">
              <w:rPr>
                <w:rFonts w:eastAsiaTheme="majorEastAsia" w:cs="Arial"/>
                <w:sz w:val="24"/>
                <w:szCs w:val="24"/>
              </w:rPr>
              <w:t>1000</w:t>
            </w:r>
            <w:r>
              <w:rPr>
                <w:rFonts w:eastAsiaTheme="majorEastAsia" w:cs="Arial"/>
                <w:sz w:val="24"/>
                <w:szCs w:val="24"/>
              </w:rPr>
              <w:t xml:space="preserve"> </w:t>
            </w:r>
            <w:proofErr w:type="spellStart"/>
            <w:r>
              <w:rPr>
                <w:rFonts w:eastAsiaTheme="majorEastAsia" w:cs="Arial"/>
                <w:sz w:val="24"/>
                <w:szCs w:val="24"/>
              </w:rPr>
              <w:t>unid</w:t>
            </w:r>
            <w:proofErr w:type="spellEnd"/>
          </w:p>
        </w:tc>
        <w:tc>
          <w:tcPr>
            <w:tcW w:w="1559" w:type="dxa"/>
            <w:tcBorders>
              <w:top w:val="single" w:sz="6" w:space="0" w:color="auto"/>
              <w:left w:val="single" w:sz="6" w:space="0" w:color="auto"/>
              <w:bottom w:val="single" w:sz="6" w:space="0" w:color="auto"/>
              <w:right w:val="single" w:sz="6" w:space="0" w:color="auto"/>
            </w:tcBorders>
          </w:tcPr>
          <w:p w:rsidR="00CE716E" w:rsidRDefault="00CE716E" w:rsidP="00CE716E">
            <w:pPr>
              <w:spacing w:line="256" w:lineRule="auto"/>
              <w:jc w:val="both"/>
              <w:textAlignment w:val="baseline"/>
              <w:rPr>
                <w:rFonts w:cs="Arial"/>
                <w:color w:val="000000" w:themeColor="text1"/>
                <w:szCs w:val="22"/>
                <w:lang w:eastAsia="pt-BR"/>
              </w:rPr>
            </w:pPr>
          </w:p>
        </w:tc>
      </w:tr>
      <w:tr w:rsidR="00CE716E" w:rsidTr="00E10DEB">
        <w:tc>
          <w:tcPr>
            <w:tcW w:w="701" w:type="dxa"/>
            <w:tcBorders>
              <w:top w:val="single" w:sz="6" w:space="0" w:color="auto"/>
              <w:left w:val="single" w:sz="6" w:space="0" w:color="auto"/>
              <w:bottom w:val="single" w:sz="6" w:space="0" w:color="auto"/>
              <w:right w:val="single" w:sz="6" w:space="0" w:color="auto"/>
            </w:tcBorders>
            <w:hideMark/>
          </w:tcPr>
          <w:p w:rsidR="00CE716E" w:rsidRPr="008061A6" w:rsidRDefault="00CE716E" w:rsidP="00CE716E">
            <w:pPr>
              <w:spacing w:line="256" w:lineRule="auto"/>
              <w:jc w:val="both"/>
              <w:textAlignment w:val="baseline"/>
              <w:rPr>
                <w:rFonts w:cs="Arial"/>
                <w:color w:val="000000" w:themeColor="text1"/>
                <w:szCs w:val="22"/>
                <w:lang w:eastAsia="pt-BR"/>
              </w:rPr>
            </w:pPr>
            <w:r w:rsidRPr="008061A6">
              <w:rPr>
                <w:rFonts w:cs="Arial"/>
                <w:color w:val="000000" w:themeColor="text1"/>
                <w:szCs w:val="22"/>
                <w:lang w:eastAsia="pt-BR"/>
              </w:rPr>
              <w:t>12</w:t>
            </w:r>
          </w:p>
        </w:tc>
        <w:tc>
          <w:tcPr>
            <w:tcW w:w="4536" w:type="dxa"/>
            <w:tcBorders>
              <w:top w:val="single" w:sz="6" w:space="0" w:color="auto"/>
              <w:left w:val="single" w:sz="6" w:space="0" w:color="auto"/>
              <w:bottom w:val="single" w:sz="6" w:space="0" w:color="auto"/>
              <w:right w:val="single" w:sz="6" w:space="0" w:color="auto"/>
            </w:tcBorders>
            <w:vAlign w:val="center"/>
          </w:tcPr>
          <w:p w:rsidR="00CE716E" w:rsidRPr="00CE716E" w:rsidRDefault="00CE716E" w:rsidP="00CE716E">
            <w:pPr>
              <w:rPr>
                <w:rFonts w:eastAsiaTheme="majorEastAsia" w:cs="Arial"/>
                <w:sz w:val="24"/>
                <w:szCs w:val="24"/>
              </w:rPr>
            </w:pPr>
            <w:r w:rsidRPr="00CE716E">
              <w:rPr>
                <w:rFonts w:eastAsiaTheme="majorEastAsia" w:cs="Arial"/>
                <w:sz w:val="24"/>
                <w:szCs w:val="24"/>
              </w:rPr>
              <w:t xml:space="preserve">Glicose 50% 10ml </w:t>
            </w:r>
            <w:proofErr w:type="spellStart"/>
            <w:r w:rsidRPr="00CE716E">
              <w:rPr>
                <w:rFonts w:eastAsiaTheme="majorEastAsia" w:cs="Arial"/>
                <w:sz w:val="24"/>
                <w:szCs w:val="24"/>
              </w:rPr>
              <w:t>Cx</w:t>
            </w:r>
            <w:proofErr w:type="spellEnd"/>
            <w:r w:rsidRPr="00CE716E">
              <w:rPr>
                <w:rFonts w:eastAsiaTheme="majorEastAsia" w:cs="Arial"/>
                <w:sz w:val="24"/>
                <w:szCs w:val="24"/>
              </w:rPr>
              <w:t xml:space="preserve"> C/200 Ampolas</w:t>
            </w:r>
          </w:p>
        </w:tc>
        <w:tc>
          <w:tcPr>
            <w:tcW w:w="1134" w:type="dxa"/>
            <w:tcBorders>
              <w:top w:val="single" w:sz="6" w:space="0" w:color="auto"/>
              <w:left w:val="single" w:sz="6" w:space="0" w:color="auto"/>
              <w:bottom w:val="single" w:sz="6" w:space="0" w:color="auto"/>
              <w:right w:val="single" w:sz="6" w:space="0" w:color="auto"/>
            </w:tcBorders>
            <w:vAlign w:val="center"/>
          </w:tcPr>
          <w:p w:rsidR="00CE716E" w:rsidRPr="00CE716E" w:rsidRDefault="00CE716E" w:rsidP="00CE716E">
            <w:pPr>
              <w:rPr>
                <w:rFonts w:eastAsiaTheme="majorEastAsia" w:cs="Arial"/>
                <w:sz w:val="24"/>
                <w:szCs w:val="24"/>
              </w:rPr>
            </w:pPr>
            <w:r w:rsidRPr="00CE716E">
              <w:rPr>
                <w:rFonts w:eastAsiaTheme="majorEastAsia" w:cs="Arial"/>
                <w:sz w:val="24"/>
                <w:szCs w:val="24"/>
              </w:rPr>
              <w:t>1000</w:t>
            </w:r>
            <w:r>
              <w:rPr>
                <w:rFonts w:eastAsiaTheme="majorEastAsia" w:cs="Arial"/>
                <w:sz w:val="24"/>
                <w:szCs w:val="24"/>
              </w:rPr>
              <w:t xml:space="preserve"> </w:t>
            </w:r>
            <w:proofErr w:type="spellStart"/>
            <w:r>
              <w:rPr>
                <w:rFonts w:eastAsiaTheme="majorEastAsia" w:cs="Arial"/>
                <w:sz w:val="24"/>
                <w:szCs w:val="24"/>
              </w:rPr>
              <w:t>cx</w:t>
            </w:r>
            <w:proofErr w:type="spellEnd"/>
          </w:p>
        </w:tc>
        <w:tc>
          <w:tcPr>
            <w:tcW w:w="1559" w:type="dxa"/>
            <w:tcBorders>
              <w:top w:val="single" w:sz="6" w:space="0" w:color="auto"/>
              <w:left w:val="single" w:sz="6" w:space="0" w:color="auto"/>
              <w:bottom w:val="single" w:sz="6" w:space="0" w:color="auto"/>
              <w:right w:val="single" w:sz="6" w:space="0" w:color="auto"/>
            </w:tcBorders>
          </w:tcPr>
          <w:p w:rsidR="00CE716E" w:rsidRDefault="00CE716E" w:rsidP="00CE716E">
            <w:pPr>
              <w:spacing w:line="256" w:lineRule="auto"/>
              <w:jc w:val="both"/>
              <w:textAlignment w:val="baseline"/>
              <w:rPr>
                <w:rFonts w:cs="Arial"/>
                <w:color w:val="000000" w:themeColor="text1"/>
                <w:szCs w:val="22"/>
                <w:lang w:eastAsia="pt-BR"/>
              </w:rPr>
            </w:pPr>
          </w:p>
        </w:tc>
      </w:tr>
      <w:tr w:rsidR="00CE716E" w:rsidTr="00E10DEB">
        <w:tc>
          <w:tcPr>
            <w:tcW w:w="701" w:type="dxa"/>
            <w:tcBorders>
              <w:top w:val="single" w:sz="6" w:space="0" w:color="auto"/>
              <w:left w:val="single" w:sz="6" w:space="0" w:color="auto"/>
              <w:bottom w:val="single" w:sz="6" w:space="0" w:color="auto"/>
              <w:right w:val="single" w:sz="6" w:space="0" w:color="auto"/>
            </w:tcBorders>
            <w:hideMark/>
          </w:tcPr>
          <w:p w:rsidR="00CE716E" w:rsidRPr="008061A6" w:rsidRDefault="00CE716E" w:rsidP="00CE716E">
            <w:pPr>
              <w:spacing w:line="256" w:lineRule="auto"/>
              <w:jc w:val="both"/>
              <w:textAlignment w:val="baseline"/>
              <w:rPr>
                <w:rFonts w:cs="Arial"/>
                <w:color w:val="000000" w:themeColor="text1"/>
                <w:szCs w:val="22"/>
                <w:lang w:eastAsia="pt-BR"/>
              </w:rPr>
            </w:pPr>
            <w:r w:rsidRPr="008061A6">
              <w:rPr>
                <w:rFonts w:cs="Arial"/>
                <w:color w:val="000000" w:themeColor="text1"/>
                <w:szCs w:val="22"/>
                <w:lang w:eastAsia="pt-BR"/>
              </w:rPr>
              <w:t>13</w:t>
            </w:r>
          </w:p>
        </w:tc>
        <w:tc>
          <w:tcPr>
            <w:tcW w:w="4536" w:type="dxa"/>
            <w:tcBorders>
              <w:top w:val="single" w:sz="6" w:space="0" w:color="auto"/>
              <w:left w:val="single" w:sz="6" w:space="0" w:color="auto"/>
              <w:bottom w:val="single" w:sz="6" w:space="0" w:color="auto"/>
              <w:right w:val="single" w:sz="6" w:space="0" w:color="auto"/>
            </w:tcBorders>
            <w:vAlign w:val="center"/>
          </w:tcPr>
          <w:p w:rsidR="00CE716E" w:rsidRPr="00CE716E" w:rsidRDefault="00CE716E" w:rsidP="00CE716E">
            <w:pPr>
              <w:rPr>
                <w:rFonts w:eastAsiaTheme="majorEastAsia" w:cs="Arial"/>
                <w:sz w:val="24"/>
                <w:szCs w:val="24"/>
              </w:rPr>
            </w:pPr>
            <w:proofErr w:type="spellStart"/>
            <w:r w:rsidRPr="00CE716E">
              <w:rPr>
                <w:rFonts w:eastAsiaTheme="majorEastAsia" w:cs="Arial"/>
                <w:sz w:val="24"/>
                <w:szCs w:val="24"/>
              </w:rPr>
              <w:t>Isordil</w:t>
            </w:r>
            <w:proofErr w:type="spellEnd"/>
            <w:r w:rsidRPr="00CE716E">
              <w:rPr>
                <w:rFonts w:eastAsiaTheme="majorEastAsia" w:cs="Arial"/>
                <w:sz w:val="24"/>
                <w:szCs w:val="24"/>
              </w:rPr>
              <w:t xml:space="preserve"> Comprimido SL 5mg </w:t>
            </w:r>
            <w:proofErr w:type="spellStart"/>
            <w:r w:rsidRPr="00CE716E">
              <w:rPr>
                <w:rFonts w:eastAsiaTheme="majorEastAsia" w:cs="Arial"/>
                <w:sz w:val="24"/>
                <w:szCs w:val="24"/>
              </w:rPr>
              <w:t>Cx</w:t>
            </w:r>
            <w:proofErr w:type="spellEnd"/>
            <w:r w:rsidRPr="00CE716E">
              <w:rPr>
                <w:rFonts w:eastAsiaTheme="majorEastAsia" w:cs="Arial"/>
                <w:sz w:val="24"/>
                <w:szCs w:val="24"/>
              </w:rPr>
              <w:t xml:space="preserve"> C/30 Comprimidos</w:t>
            </w:r>
          </w:p>
        </w:tc>
        <w:tc>
          <w:tcPr>
            <w:tcW w:w="1134" w:type="dxa"/>
            <w:tcBorders>
              <w:top w:val="single" w:sz="6" w:space="0" w:color="auto"/>
              <w:left w:val="single" w:sz="6" w:space="0" w:color="auto"/>
              <w:bottom w:val="single" w:sz="6" w:space="0" w:color="auto"/>
              <w:right w:val="single" w:sz="6" w:space="0" w:color="auto"/>
            </w:tcBorders>
            <w:vAlign w:val="center"/>
          </w:tcPr>
          <w:p w:rsidR="00CE716E" w:rsidRPr="00CE716E" w:rsidRDefault="00CE716E" w:rsidP="00CE716E">
            <w:pPr>
              <w:rPr>
                <w:rFonts w:eastAsiaTheme="majorEastAsia" w:cs="Arial"/>
                <w:sz w:val="24"/>
                <w:szCs w:val="24"/>
              </w:rPr>
            </w:pPr>
            <w:r w:rsidRPr="00CE716E">
              <w:rPr>
                <w:rFonts w:eastAsiaTheme="majorEastAsia" w:cs="Arial"/>
                <w:sz w:val="24"/>
                <w:szCs w:val="24"/>
              </w:rPr>
              <w:t>1000</w:t>
            </w:r>
            <w:r>
              <w:rPr>
                <w:rFonts w:eastAsiaTheme="majorEastAsia" w:cs="Arial"/>
                <w:sz w:val="24"/>
                <w:szCs w:val="24"/>
              </w:rPr>
              <w:t xml:space="preserve"> </w:t>
            </w:r>
            <w:proofErr w:type="spellStart"/>
            <w:r>
              <w:rPr>
                <w:rFonts w:eastAsiaTheme="majorEastAsia" w:cs="Arial"/>
                <w:sz w:val="24"/>
                <w:szCs w:val="24"/>
              </w:rPr>
              <w:t>cx</w:t>
            </w:r>
            <w:proofErr w:type="spellEnd"/>
          </w:p>
        </w:tc>
        <w:tc>
          <w:tcPr>
            <w:tcW w:w="1559" w:type="dxa"/>
            <w:tcBorders>
              <w:top w:val="single" w:sz="6" w:space="0" w:color="auto"/>
              <w:left w:val="single" w:sz="6" w:space="0" w:color="auto"/>
              <w:bottom w:val="single" w:sz="6" w:space="0" w:color="auto"/>
              <w:right w:val="single" w:sz="6" w:space="0" w:color="auto"/>
            </w:tcBorders>
          </w:tcPr>
          <w:p w:rsidR="00CE716E" w:rsidRDefault="00CE716E" w:rsidP="00CE716E">
            <w:pPr>
              <w:spacing w:line="256" w:lineRule="auto"/>
              <w:jc w:val="both"/>
              <w:textAlignment w:val="baseline"/>
              <w:rPr>
                <w:rFonts w:cs="Arial"/>
                <w:color w:val="000000" w:themeColor="text1"/>
                <w:szCs w:val="22"/>
                <w:lang w:eastAsia="pt-BR"/>
              </w:rPr>
            </w:pPr>
          </w:p>
        </w:tc>
      </w:tr>
      <w:tr w:rsidR="00CE716E" w:rsidTr="00E10DEB">
        <w:tc>
          <w:tcPr>
            <w:tcW w:w="701" w:type="dxa"/>
            <w:tcBorders>
              <w:top w:val="single" w:sz="6" w:space="0" w:color="auto"/>
              <w:left w:val="single" w:sz="6" w:space="0" w:color="auto"/>
              <w:bottom w:val="single" w:sz="6" w:space="0" w:color="auto"/>
              <w:right w:val="single" w:sz="6" w:space="0" w:color="auto"/>
            </w:tcBorders>
            <w:hideMark/>
          </w:tcPr>
          <w:p w:rsidR="00CE716E" w:rsidRPr="008061A6" w:rsidRDefault="00CE716E" w:rsidP="00CE716E">
            <w:pPr>
              <w:spacing w:line="256" w:lineRule="auto"/>
              <w:jc w:val="both"/>
              <w:textAlignment w:val="baseline"/>
              <w:rPr>
                <w:rFonts w:cs="Arial"/>
                <w:color w:val="000000" w:themeColor="text1"/>
                <w:szCs w:val="22"/>
                <w:lang w:eastAsia="pt-BR"/>
              </w:rPr>
            </w:pPr>
            <w:r w:rsidRPr="008061A6">
              <w:rPr>
                <w:rFonts w:cs="Arial"/>
                <w:color w:val="000000" w:themeColor="text1"/>
                <w:szCs w:val="22"/>
                <w:lang w:eastAsia="pt-BR"/>
              </w:rPr>
              <w:t>14</w:t>
            </w:r>
          </w:p>
        </w:tc>
        <w:tc>
          <w:tcPr>
            <w:tcW w:w="4536" w:type="dxa"/>
            <w:tcBorders>
              <w:top w:val="single" w:sz="6" w:space="0" w:color="auto"/>
              <w:left w:val="single" w:sz="6" w:space="0" w:color="auto"/>
              <w:bottom w:val="single" w:sz="6" w:space="0" w:color="auto"/>
              <w:right w:val="single" w:sz="6" w:space="0" w:color="auto"/>
            </w:tcBorders>
            <w:vAlign w:val="center"/>
          </w:tcPr>
          <w:p w:rsidR="00CE716E" w:rsidRPr="00CE716E" w:rsidRDefault="00CE716E" w:rsidP="00CE716E">
            <w:pPr>
              <w:rPr>
                <w:rFonts w:eastAsiaTheme="majorEastAsia" w:cs="Arial"/>
                <w:sz w:val="24"/>
                <w:szCs w:val="24"/>
              </w:rPr>
            </w:pPr>
            <w:proofErr w:type="spellStart"/>
            <w:r w:rsidRPr="00CE716E">
              <w:rPr>
                <w:rFonts w:eastAsiaTheme="majorEastAsia" w:cs="Arial"/>
                <w:sz w:val="24"/>
                <w:szCs w:val="24"/>
              </w:rPr>
              <w:t>Kollagenase</w:t>
            </w:r>
            <w:proofErr w:type="spellEnd"/>
            <w:r w:rsidRPr="00CE716E">
              <w:rPr>
                <w:rFonts w:eastAsiaTheme="majorEastAsia" w:cs="Arial"/>
                <w:sz w:val="24"/>
                <w:szCs w:val="24"/>
              </w:rPr>
              <w:t xml:space="preserve"> com </w:t>
            </w:r>
            <w:proofErr w:type="spellStart"/>
            <w:r w:rsidRPr="00CE716E">
              <w:rPr>
                <w:rFonts w:eastAsiaTheme="majorEastAsia" w:cs="Arial"/>
                <w:sz w:val="24"/>
                <w:szCs w:val="24"/>
              </w:rPr>
              <w:t>Cloranfenicol</w:t>
            </w:r>
            <w:proofErr w:type="spellEnd"/>
            <w:r w:rsidRPr="00CE716E">
              <w:rPr>
                <w:rFonts w:eastAsiaTheme="majorEastAsia" w:cs="Arial"/>
                <w:sz w:val="24"/>
                <w:szCs w:val="24"/>
              </w:rPr>
              <w:t xml:space="preserve"> Pomada </w:t>
            </w:r>
            <w:proofErr w:type="spellStart"/>
            <w:r w:rsidRPr="00CE716E">
              <w:rPr>
                <w:rFonts w:eastAsiaTheme="majorEastAsia" w:cs="Arial"/>
                <w:sz w:val="24"/>
                <w:szCs w:val="24"/>
              </w:rPr>
              <w:t>Cx</w:t>
            </w:r>
            <w:proofErr w:type="spellEnd"/>
            <w:r w:rsidRPr="00CE716E">
              <w:rPr>
                <w:rFonts w:eastAsiaTheme="majorEastAsia" w:cs="Arial"/>
                <w:sz w:val="24"/>
                <w:szCs w:val="24"/>
              </w:rPr>
              <w:t>/10 Tubos</w:t>
            </w:r>
          </w:p>
        </w:tc>
        <w:tc>
          <w:tcPr>
            <w:tcW w:w="1134" w:type="dxa"/>
            <w:tcBorders>
              <w:top w:val="single" w:sz="6" w:space="0" w:color="auto"/>
              <w:left w:val="single" w:sz="6" w:space="0" w:color="auto"/>
              <w:bottom w:val="single" w:sz="6" w:space="0" w:color="auto"/>
              <w:right w:val="single" w:sz="6" w:space="0" w:color="auto"/>
            </w:tcBorders>
            <w:vAlign w:val="center"/>
          </w:tcPr>
          <w:p w:rsidR="00CE716E" w:rsidRPr="00CE716E" w:rsidRDefault="00CE716E" w:rsidP="00CE716E">
            <w:pPr>
              <w:rPr>
                <w:rFonts w:eastAsiaTheme="majorEastAsia" w:cs="Arial"/>
                <w:sz w:val="24"/>
                <w:szCs w:val="24"/>
              </w:rPr>
            </w:pPr>
            <w:r w:rsidRPr="00CE716E">
              <w:rPr>
                <w:rFonts w:eastAsiaTheme="majorEastAsia" w:cs="Arial"/>
                <w:sz w:val="24"/>
                <w:szCs w:val="24"/>
              </w:rPr>
              <w:t>1000</w:t>
            </w:r>
            <w:r>
              <w:rPr>
                <w:rFonts w:eastAsiaTheme="majorEastAsia" w:cs="Arial"/>
                <w:sz w:val="24"/>
                <w:szCs w:val="24"/>
              </w:rPr>
              <w:t xml:space="preserve"> </w:t>
            </w:r>
            <w:proofErr w:type="spellStart"/>
            <w:r>
              <w:rPr>
                <w:rFonts w:eastAsiaTheme="majorEastAsia" w:cs="Arial"/>
                <w:sz w:val="24"/>
                <w:szCs w:val="24"/>
              </w:rPr>
              <w:t>cx</w:t>
            </w:r>
            <w:proofErr w:type="spellEnd"/>
          </w:p>
        </w:tc>
        <w:tc>
          <w:tcPr>
            <w:tcW w:w="1559" w:type="dxa"/>
            <w:tcBorders>
              <w:top w:val="single" w:sz="6" w:space="0" w:color="auto"/>
              <w:left w:val="single" w:sz="6" w:space="0" w:color="auto"/>
              <w:bottom w:val="single" w:sz="6" w:space="0" w:color="auto"/>
              <w:right w:val="single" w:sz="6" w:space="0" w:color="auto"/>
            </w:tcBorders>
          </w:tcPr>
          <w:p w:rsidR="00CE716E" w:rsidRDefault="00CE716E" w:rsidP="00CE716E">
            <w:pPr>
              <w:spacing w:line="256" w:lineRule="auto"/>
              <w:jc w:val="both"/>
              <w:textAlignment w:val="baseline"/>
              <w:rPr>
                <w:rFonts w:cs="Arial"/>
                <w:color w:val="000000" w:themeColor="text1"/>
                <w:szCs w:val="22"/>
                <w:lang w:eastAsia="pt-BR"/>
              </w:rPr>
            </w:pPr>
          </w:p>
        </w:tc>
      </w:tr>
      <w:tr w:rsidR="00CE716E" w:rsidTr="007C215E">
        <w:tc>
          <w:tcPr>
            <w:tcW w:w="701" w:type="dxa"/>
            <w:tcBorders>
              <w:top w:val="single" w:sz="6" w:space="0" w:color="auto"/>
              <w:left w:val="single" w:sz="6" w:space="0" w:color="auto"/>
              <w:bottom w:val="single" w:sz="6" w:space="0" w:color="auto"/>
              <w:right w:val="single" w:sz="6" w:space="0" w:color="auto"/>
            </w:tcBorders>
            <w:hideMark/>
          </w:tcPr>
          <w:p w:rsidR="00CE716E" w:rsidRPr="008061A6" w:rsidRDefault="00CE716E" w:rsidP="00CE716E">
            <w:pPr>
              <w:spacing w:line="256" w:lineRule="auto"/>
              <w:jc w:val="both"/>
              <w:textAlignment w:val="baseline"/>
              <w:rPr>
                <w:rFonts w:cs="Arial"/>
                <w:color w:val="000000" w:themeColor="text1"/>
                <w:szCs w:val="22"/>
                <w:lang w:eastAsia="pt-BR"/>
              </w:rPr>
            </w:pPr>
            <w:r w:rsidRPr="008061A6">
              <w:rPr>
                <w:rFonts w:cs="Arial"/>
                <w:color w:val="000000" w:themeColor="text1"/>
                <w:szCs w:val="22"/>
                <w:lang w:eastAsia="pt-BR"/>
              </w:rPr>
              <w:t>15</w:t>
            </w:r>
          </w:p>
        </w:tc>
        <w:tc>
          <w:tcPr>
            <w:tcW w:w="4536" w:type="dxa"/>
            <w:tcBorders>
              <w:top w:val="single" w:sz="6" w:space="0" w:color="auto"/>
              <w:left w:val="single" w:sz="6" w:space="0" w:color="auto"/>
              <w:bottom w:val="single" w:sz="6" w:space="0" w:color="auto"/>
              <w:right w:val="single" w:sz="6" w:space="0" w:color="auto"/>
            </w:tcBorders>
            <w:vAlign w:val="center"/>
          </w:tcPr>
          <w:p w:rsidR="00CE716E" w:rsidRPr="00CE716E" w:rsidRDefault="00CE716E" w:rsidP="00CE716E">
            <w:pPr>
              <w:rPr>
                <w:rFonts w:eastAsiaTheme="majorEastAsia" w:cs="Arial"/>
                <w:sz w:val="24"/>
                <w:szCs w:val="24"/>
              </w:rPr>
            </w:pPr>
            <w:proofErr w:type="spellStart"/>
            <w:r w:rsidRPr="00CE716E">
              <w:rPr>
                <w:rFonts w:eastAsiaTheme="majorEastAsia" w:cs="Arial"/>
                <w:sz w:val="24"/>
                <w:szCs w:val="24"/>
              </w:rPr>
              <w:t>Prometazina</w:t>
            </w:r>
            <w:proofErr w:type="spellEnd"/>
            <w:r w:rsidRPr="00CE716E">
              <w:rPr>
                <w:rFonts w:eastAsiaTheme="majorEastAsia" w:cs="Arial"/>
                <w:sz w:val="24"/>
                <w:szCs w:val="24"/>
              </w:rPr>
              <w:t xml:space="preserve"> 50mg 2ml </w:t>
            </w:r>
            <w:proofErr w:type="spellStart"/>
            <w:r w:rsidRPr="00CE716E">
              <w:rPr>
                <w:rFonts w:eastAsiaTheme="majorEastAsia" w:cs="Arial"/>
                <w:sz w:val="24"/>
                <w:szCs w:val="24"/>
              </w:rPr>
              <w:t>Cx</w:t>
            </w:r>
            <w:proofErr w:type="spellEnd"/>
            <w:r w:rsidRPr="00CE716E">
              <w:rPr>
                <w:rFonts w:eastAsiaTheme="majorEastAsia" w:cs="Arial"/>
                <w:sz w:val="24"/>
                <w:szCs w:val="24"/>
              </w:rPr>
              <w:t xml:space="preserve"> C/100 Ampolas</w:t>
            </w:r>
          </w:p>
        </w:tc>
        <w:tc>
          <w:tcPr>
            <w:tcW w:w="1134" w:type="dxa"/>
            <w:tcBorders>
              <w:top w:val="single" w:sz="6" w:space="0" w:color="auto"/>
              <w:left w:val="single" w:sz="6" w:space="0" w:color="auto"/>
              <w:bottom w:val="single" w:sz="6" w:space="0" w:color="auto"/>
              <w:right w:val="single" w:sz="6" w:space="0" w:color="auto"/>
            </w:tcBorders>
            <w:vAlign w:val="center"/>
          </w:tcPr>
          <w:p w:rsidR="00CE716E" w:rsidRPr="00CE716E" w:rsidRDefault="00CE716E" w:rsidP="00CE716E">
            <w:pPr>
              <w:rPr>
                <w:rFonts w:eastAsiaTheme="majorEastAsia" w:cs="Arial"/>
                <w:sz w:val="24"/>
                <w:szCs w:val="24"/>
              </w:rPr>
            </w:pPr>
            <w:r w:rsidRPr="00CE716E">
              <w:rPr>
                <w:rFonts w:eastAsiaTheme="majorEastAsia" w:cs="Arial"/>
                <w:sz w:val="24"/>
                <w:szCs w:val="24"/>
              </w:rPr>
              <w:t>1000</w:t>
            </w:r>
            <w:r>
              <w:rPr>
                <w:rFonts w:eastAsiaTheme="majorEastAsia" w:cs="Arial"/>
                <w:sz w:val="24"/>
                <w:szCs w:val="24"/>
              </w:rPr>
              <w:t xml:space="preserve"> </w:t>
            </w:r>
            <w:proofErr w:type="spellStart"/>
            <w:r>
              <w:rPr>
                <w:rFonts w:eastAsiaTheme="majorEastAsia" w:cs="Arial"/>
                <w:sz w:val="24"/>
                <w:szCs w:val="24"/>
              </w:rPr>
              <w:t>cx</w:t>
            </w:r>
            <w:proofErr w:type="spellEnd"/>
          </w:p>
        </w:tc>
        <w:tc>
          <w:tcPr>
            <w:tcW w:w="1559" w:type="dxa"/>
            <w:tcBorders>
              <w:top w:val="single" w:sz="6" w:space="0" w:color="auto"/>
              <w:left w:val="single" w:sz="6" w:space="0" w:color="auto"/>
              <w:bottom w:val="single" w:sz="6" w:space="0" w:color="auto"/>
              <w:right w:val="single" w:sz="6" w:space="0" w:color="auto"/>
            </w:tcBorders>
          </w:tcPr>
          <w:p w:rsidR="00CE716E" w:rsidRDefault="00CE716E" w:rsidP="00CE716E">
            <w:pPr>
              <w:spacing w:line="256" w:lineRule="auto"/>
              <w:jc w:val="both"/>
              <w:textAlignment w:val="baseline"/>
              <w:rPr>
                <w:rFonts w:cs="Arial"/>
                <w:color w:val="000000" w:themeColor="text1"/>
                <w:szCs w:val="22"/>
                <w:lang w:eastAsia="pt-BR"/>
              </w:rPr>
            </w:pPr>
          </w:p>
        </w:tc>
      </w:tr>
      <w:tr w:rsidR="00CE716E" w:rsidTr="007C215E">
        <w:tc>
          <w:tcPr>
            <w:tcW w:w="701" w:type="dxa"/>
            <w:tcBorders>
              <w:top w:val="single" w:sz="6" w:space="0" w:color="auto"/>
              <w:left w:val="single" w:sz="6" w:space="0" w:color="auto"/>
              <w:bottom w:val="single" w:sz="6" w:space="0" w:color="auto"/>
              <w:right w:val="single" w:sz="6" w:space="0" w:color="auto"/>
            </w:tcBorders>
            <w:hideMark/>
          </w:tcPr>
          <w:p w:rsidR="00CE716E" w:rsidRPr="008061A6" w:rsidRDefault="00CE716E" w:rsidP="00CE716E">
            <w:pPr>
              <w:spacing w:line="256" w:lineRule="auto"/>
              <w:jc w:val="both"/>
              <w:textAlignment w:val="baseline"/>
              <w:rPr>
                <w:rFonts w:cs="Arial"/>
                <w:color w:val="000000" w:themeColor="text1"/>
                <w:szCs w:val="22"/>
                <w:lang w:eastAsia="pt-BR"/>
              </w:rPr>
            </w:pPr>
            <w:r w:rsidRPr="008061A6">
              <w:rPr>
                <w:rFonts w:cs="Arial"/>
                <w:color w:val="000000" w:themeColor="text1"/>
                <w:szCs w:val="22"/>
                <w:lang w:eastAsia="pt-BR"/>
              </w:rPr>
              <w:t>16</w:t>
            </w:r>
          </w:p>
        </w:tc>
        <w:tc>
          <w:tcPr>
            <w:tcW w:w="4536" w:type="dxa"/>
            <w:tcBorders>
              <w:top w:val="single" w:sz="6" w:space="0" w:color="auto"/>
              <w:left w:val="single" w:sz="6" w:space="0" w:color="auto"/>
              <w:bottom w:val="single" w:sz="6" w:space="0" w:color="auto"/>
              <w:right w:val="single" w:sz="6" w:space="0" w:color="auto"/>
            </w:tcBorders>
            <w:vAlign w:val="center"/>
          </w:tcPr>
          <w:p w:rsidR="00CE716E" w:rsidRPr="00CE716E" w:rsidRDefault="00CE716E" w:rsidP="00CE716E">
            <w:pPr>
              <w:rPr>
                <w:rFonts w:eastAsiaTheme="majorEastAsia" w:cs="Arial"/>
                <w:sz w:val="24"/>
                <w:szCs w:val="24"/>
              </w:rPr>
            </w:pPr>
            <w:r w:rsidRPr="00CE716E">
              <w:rPr>
                <w:rFonts w:eastAsiaTheme="majorEastAsia" w:cs="Arial"/>
                <w:sz w:val="24"/>
                <w:szCs w:val="24"/>
              </w:rPr>
              <w:t xml:space="preserve">Glicose 5% 125ml </w:t>
            </w:r>
            <w:proofErr w:type="spellStart"/>
            <w:r w:rsidRPr="00CE716E">
              <w:rPr>
                <w:rFonts w:eastAsiaTheme="majorEastAsia" w:cs="Arial"/>
                <w:sz w:val="24"/>
                <w:szCs w:val="24"/>
              </w:rPr>
              <w:t>Cx</w:t>
            </w:r>
            <w:proofErr w:type="spellEnd"/>
            <w:r w:rsidRPr="00CE716E">
              <w:rPr>
                <w:rFonts w:eastAsiaTheme="majorEastAsia" w:cs="Arial"/>
                <w:sz w:val="24"/>
                <w:szCs w:val="24"/>
              </w:rPr>
              <w:t xml:space="preserve"> C/48 Frascos</w:t>
            </w:r>
          </w:p>
        </w:tc>
        <w:tc>
          <w:tcPr>
            <w:tcW w:w="1134" w:type="dxa"/>
            <w:tcBorders>
              <w:top w:val="single" w:sz="6" w:space="0" w:color="auto"/>
              <w:left w:val="single" w:sz="6" w:space="0" w:color="auto"/>
              <w:bottom w:val="single" w:sz="6" w:space="0" w:color="auto"/>
              <w:right w:val="single" w:sz="6" w:space="0" w:color="auto"/>
            </w:tcBorders>
            <w:vAlign w:val="center"/>
          </w:tcPr>
          <w:p w:rsidR="00CE716E" w:rsidRPr="00CE716E" w:rsidRDefault="00CE716E" w:rsidP="00CE716E">
            <w:pPr>
              <w:rPr>
                <w:rFonts w:eastAsiaTheme="majorEastAsia" w:cs="Arial"/>
                <w:sz w:val="24"/>
                <w:szCs w:val="24"/>
              </w:rPr>
            </w:pPr>
            <w:r w:rsidRPr="00CE716E">
              <w:rPr>
                <w:rFonts w:eastAsiaTheme="majorEastAsia" w:cs="Arial"/>
                <w:sz w:val="24"/>
                <w:szCs w:val="24"/>
              </w:rPr>
              <w:t>1000</w:t>
            </w:r>
            <w:r>
              <w:rPr>
                <w:rFonts w:eastAsiaTheme="majorEastAsia" w:cs="Arial"/>
                <w:sz w:val="24"/>
                <w:szCs w:val="24"/>
              </w:rPr>
              <w:t xml:space="preserve"> </w:t>
            </w:r>
            <w:proofErr w:type="spellStart"/>
            <w:r>
              <w:rPr>
                <w:rFonts w:eastAsiaTheme="majorEastAsia" w:cs="Arial"/>
                <w:sz w:val="24"/>
                <w:szCs w:val="24"/>
              </w:rPr>
              <w:t>cx</w:t>
            </w:r>
            <w:proofErr w:type="spellEnd"/>
          </w:p>
        </w:tc>
        <w:tc>
          <w:tcPr>
            <w:tcW w:w="1559" w:type="dxa"/>
            <w:tcBorders>
              <w:top w:val="single" w:sz="6" w:space="0" w:color="auto"/>
              <w:left w:val="single" w:sz="6" w:space="0" w:color="auto"/>
              <w:bottom w:val="single" w:sz="6" w:space="0" w:color="auto"/>
              <w:right w:val="single" w:sz="6" w:space="0" w:color="auto"/>
            </w:tcBorders>
          </w:tcPr>
          <w:p w:rsidR="00CE716E" w:rsidRDefault="00CE716E" w:rsidP="00CE716E">
            <w:pPr>
              <w:spacing w:line="256" w:lineRule="auto"/>
              <w:jc w:val="both"/>
              <w:textAlignment w:val="baseline"/>
              <w:rPr>
                <w:rFonts w:cs="Arial"/>
                <w:color w:val="000000" w:themeColor="text1"/>
                <w:szCs w:val="22"/>
                <w:lang w:eastAsia="pt-BR"/>
              </w:rPr>
            </w:pPr>
          </w:p>
        </w:tc>
      </w:tr>
      <w:tr w:rsidR="00CE716E" w:rsidTr="007C215E">
        <w:tc>
          <w:tcPr>
            <w:tcW w:w="701" w:type="dxa"/>
            <w:tcBorders>
              <w:top w:val="single" w:sz="6" w:space="0" w:color="auto"/>
              <w:left w:val="single" w:sz="6" w:space="0" w:color="auto"/>
              <w:bottom w:val="single" w:sz="6" w:space="0" w:color="auto"/>
              <w:right w:val="single" w:sz="6" w:space="0" w:color="auto"/>
            </w:tcBorders>
            <w:hideMark/>
          </w:tcPr>
          <w:p w:rsidR="00CE716E" w:rsidRPr="008061A6" w:rsidRDefault="00CE716E" w:rsidP="00CE716E">
            <w:pPr>
              <w:spacing w:line="256" w:lineRule="auto"/>
              <w:jc w:val="both"/>
              <w:textAlignment w:val="baseline"/>
              <w:rPr>
                <w:rFonts w:cs="Arial"/>
                <w:color w:val="000000" w:themeColor="text1"/>
                <w:szCs w:val="22"/>
                <w:lang w:eastAsia="pt-BR"/>
              </w:rPr>
            </w:pPr>
            <w:r w:rsidRPr="008061A6">
              <w:rPr>
                <w:rFonts w:cs="Arial"/>
                <w:color w:val="000000" w:themeColor="text1"/>
                <w:szCs w:val="22"/>
                <w:lang w:eastAsia="pt-BR"/>
              </w:rPr>
              <w:t>17</w:t>
            </w:r>
          </w:p>
        </w:tc>
        <w:tc>
          <w:tcPr>
            <w:tcW w:w="4536" w:type="dxa"/>
            <w:tcBorders>
              <w:top w:val="single" w:sz="6" w:space="0" w:color="auto"/>
              <w:left w:val="single" w:sz="6" w:space="0" w:color="auto"/>
              <w:bottom w:val="single" w:sz="6" w:space="0" w:color="auto"/>
              <w:right w:val="single" w:sz="6" w:space="0" w:color="auto"/>
            </w:tcBorders>
            <w:vAlign w:val="center"/>
          </w:tcPr>
          <w:p w:rsidR="00CE716E" w:rsidRPr="00CE716E" w:rsidRDefault="00CE716E" w:rsidP="00CE716E">
            <w:pPr>
              <w:rPr>
                <w:rFonts w:eastAsiaTheme="majorEastAsia" w:cs="Arial"/>
                <w:sz w:val="24"/>
                <w:szCs w:val="24"/>
              </w:rPr>
            </w:pPr>
            <w:r w:rsidRPr="00CE716E">
              <w:rPr>
                <w:rFonts w:eastAsiaTheme="majorEastAsia" w:cs="Arial"/>
                <w:sz w:val="24"/>
                <w:szCs w:val="24"/>
              </w:rPr>
              <w:t xml:space="preserve">Glicose 5% 250ml </w:t>
            </w:r>
            <w:proofErr w:type="spellStart"/>
            <w:r w:rsidRPr="00CE716E">
              <w:rPr>
                <w:rFonts w:eastAsiaTheme="majorEastAsia" w:cs="Arial"/>
                <w:sz w:val="24"/>
                <w:szCs w:val="24"/>
              </w:rPr>
              <w:t>Cx</w:t>
            </w:r>
            <w:proofErr w:type="spellEnd"/>
            <w:r w:rsidRPr="00CE716E">
              <w:rPr>
                <w:rFonts w:eastAsiaTheme="majorEastAsia" w:cs="Arial"/>
                <w:sz w:val="24"/>
                <w:szCs w:val="24"/>
              </w:rPr>
              <w:t xml:space="preserve"> C/50 Frascos</w:t>
            </w:r>
          </w:p>
        </w:tc>
        <w:tc>
          <w:tcPr>
            <w:tcW w:w="1134" w:type="dxa"/>
            <w:tcBorders>
              <w:top w:val="single" w:sz="6" w:space="0" w:color="auto"/>
              <w:left w:val="single" w:sz="6" w:space="0" w:color="auto"/>
              <w:bottom w:val="single" w:sz="6" w:space="0" w:color="auto"/>
              <w:right w:val="single" w:sz="6" w:space="0" w:color="auto"/>
            </w:tcBorders>
            <w:vAlign w:val="center"/>
          </w:tcPr>
          <w:p w:rsidR="00CE716E" w:rsidRPr="00CE716E" w:rsidRDefault="00CE716E" w:rsidP="00CE716E">
            <w:pPr>
              <w:rPr>
                <w:rFonts w:eastAsiaTheme="majorEastAsia" w:cs="Arial"/>
                <w:sz w:val="24"/>
                <w:szCs w:val="24"/>
              </w:rPr>
            </w:pPr>
            <w:r w:rsidRPr="00CE716E">
              <w:rPr>
                <w:rFonts w:eastAsiaTheme="majorEastAsia" w:cs="Arial"/>
                <w:sz w:val="24"/>
                <w:szCs w:val="24"/>
              </w:rPr>
              <w:t>1000</w:t>
            </w:r>
            <w:r>
              <w:rPr>
                <w:rFonts w:eastAsiaTheme="majorEastAsia" w:cs="Arial"/>
                <w:sz w:val="24"/>
                <w:szCs w:val="24"/>
              </w:rPr>
              <w:t xml:space="preserve"> </w:t>
            </w:r>
            <w:proofErr w:type="spellStart"/>
            <w:r>
              <w:rPr>
                <w:rFonts w:eastAsiaTheme="majorEastAsia" w:cs="Arial"/>
                <w:sz w:val="24"/>
                <w:szCs w:val="24"/>
              </w:rPr>
              <w:t>cx</w:t>
            </w:r>
            <w:proofErr w:type="spellEnd"/>
          </w:p>
        </w:tc>
        <w:tc>
          <w:tcPr>
            <w:tcW w:w="1559" w:type="dxa"/>
            <w:tcBorders>
              <w:top w:val="single" w:sz="6" w:space="0" w:color="auto"/>
              <w:left w:val="single" w:sz="6" w:space="0" w:color="auto"/>
              <w:bottom w:val="single" w:sz="6" w:space="0" w:color="auto"/>
              <w:right w:val="single" w:sz="6" w:space="0" w:color="auto"/>
            </w:tcBorders>
          </w:tcPr>
          <w:p w:rsidR="00CE716E" w:rsidRDefault="00CE716E" w:rsidP="00CE716E">
            <w:pPr>
              <w:spacing w:line="256" w:lineRule="auto"/>
              <w:jc w:val="both"/>
              <w:textAlignment w:val="baseline"/>
              <w:rPr>
                <w:rFonts w:cs="Arial"/>
                <w:color w:val="000000" w:themeColor="text1"/>
                <w:szCs w:val="22"/>
                <w:lang w:eastAsia="pt-BR"/>
              </w:rPr>
            </w:pPr>
          </w:p>
        </w:tc>
      </w:tr>
      <w:tr w:rsidR="00CE716E" w:rsidTr="007C215E">
        <w:tc>
          <w:tcPr>
            <w:tcW w:w="701" w:type="dxa"/>
            <w:tcBorders>
              <w:top w:val="single" w:sz="6" w:space="0" w:color="auto"/>
              <w:left w:val="single" w:sz="6" w:space="0" w:color="auto"/>
              <w:bottom w:val="single" w:sz="6" w:space="0" w:color="auto"/>
              <w:right w:val="single" w:sz="6" w:space="0" w:color="auto"/>
            </w:tcBorders>
            <w:hideMark/>
          </w:tcPr>
          <w:p w:rsidR="00CE716E" w:rsidRPr="008061A6" w:rsidRDefault="00CE716E" w:rsidP="00CE716E">
            <w:pPr>
              <w:spacing w:line="256" w:lineRule="auto"/>
              <w:jc w:val="both"/>
              <w:textAlignment w:val="baseline"/>
              <w:rPr>
                <w:rFonts w:cs="Arial"/>
                <w:color w:val="000000" w:themeColor="text1"/>
                <w:szCs w:val="22"/>
                <w:lang w:eastAsia="pt-BR"/>
              </w:rPr>
            </w:pPr>
            <w:r w:rsidRPr="008061A6">
              <w:rPr>
                <w:rFonts w:cs="Arial"/>
                <w:color w:val="000000" w:themeColor="text1"/>
                <w:szCs w:val="22"/>
                <w:lang w:eastAsia="pt-BR"/>
              </w:rPr>
              <w:t>18</w:t>
            </w:r>
          </w:p>
        </w:tc>
        <w:tc>
          <w:tcPr>
            <w:tcW w:w="4536" w:type="dxa"/>
            <w:tcBorders>
              <w:top w:val="single" w:sz="6" w:space="0" w:color="auto"/>
              <w:left w:val="single" w:sz="6" w:space="0" w:color="auto"/>
              <w:bottom w:val="single" w:sz="6" w:space="0" w:color="auto"/>
              <w:right w:val="single" w:sz="6" w:space="0" w:color="auto"/>
            </w:tcBorders>
            <w:vAlign w:val="center"/>
          </w:tcPr>
          <w:p w:rsidR="00CE716E" w:rsidRPr="00CE716E" w:rsidRDefault="00CE716E" w:rsidP="00CE716E">
            <w:pPr>
              <w:rPr>
                <w:rFonts w:eastAsiaTheme="majorEastAsia" w:cs="Arial"/>
                <w:sz w:val="24"/>
                <w:szCs w:val="24"/>
              </w:rPr>
            </w:pPr>
            <w:r w:rsidRPr="00CE716E">
              <w:rPr>
                <w:rFonts w:eastAsiaTheme="majorEastAsia" w:cs="Arial"/>
                <w:sz w:val="24"/>
                <w:szCs w:val="24"/>
              </w:rPr>
              <w:t xml:space="preserve">Neomicina + </w:t>
            </w:r>
            <w:proofErr w:type="spellStart"/>
            <w:r w:rsidRPr="00CE716E">
              <w:rPr>
                <w:rFonts w:eastAsiaTheme="majorEastAsia" w:cs="Arial"/>
                <w:sz w:val="24"/>
                <w:szCs w:val="24"/>
              </w:rPr>
              <w:t>Bactracina</w:t>
            </w:r>
            <w:proofErr w:type="spellEnd"/>
            <w:r w:rsidRPr="00CE716E">
              <w:rPr>
                <w:rFonts w:eastAsiaTheme="majorEastAsia" w:cs="Arial"/>
                <w:sz w:val="24"/>
                <w:szCs w:val="24"/>
              </w:rPr>
              <w:t xml:space="preserve"> 10gr </w:t>
            </w:r>
            <w:proofErr w:type="spellStart"/>
            <w:r w:rsidRPr="00CE716E">
              <w:rPr>
                <w:rFonts w:eastAsiaTheme="majorEastAsia" w:cs="Arial"/>
                <w:sz w:val="24"/>
                <w:szCs w:val="24"/>
              </w:rPr>
              <w:t>Cx</w:t>
            </w:r>
            <w:proofErr w:type="spellEnd"/>
            <w:r w:rsidRPr="00CE716E">
              <w:rPr>
                <w:rFonts w:eastAsiaTheme="majorEastAsia" w:cs="Arial"/>
                <w:sz w:val="24"/>
                <w:szCs w:val="24"/>
              </w:rPr>
              <w:t xml:space="preserve"> C/50 Tubos</w:t>
            </w:r>
          </w:p>
        </w:tc>
        <w:tc>
          <w:tcPr>
            <w:tcW w:w="1134" w:type="dxa"/>
            <w:tcBorders>
              <w:top w:val="single" w:sz="6" w:space="0" w:color="auto"/>
              <w:left w:val="single" w:sz="6" w:space="0" w:color="auto"/>
              <w:bottom w:val="single" w:sz="6" w:space="0" w:color="auto"/>
              <w:right w:val="single" w:sz="6" w:space="0" w:color="auto"/>
            </w:tcBorders>
            <w:vAlign w:val="center"/>
          </w:tcPr>
          <w:p w:rsidR="00CE716E" w:rsidRPr="00CE716E" w:rsidRDefault="00CE716E" w:rsidP="00CE716E">
            <w:pPr>
              <w:rPr>
                <w:rFonts w:eastAsiaTheme="majorEastAsia" w:cs="Arial"/>
                <w:sz w:val="24"/>
                <w:szCs w:val="24"/>
              </w:rPr>
            </w:pPr>
            <w:r w:rsidRPr="00CE716E">
              <w:rPr>
                <w:rFonts w:eastAsiaTheme="majorEastAsia" w:cs="Arial"/>
                <w:sz w:val="24"/>
                <w:szCs w:val="24"/>
              </w:rPr>
              <w:t>1000</w:t>
            </w:r>
            <w:r>
              <w:rPr>
                <w:rFonts w:eastAsiaTheme="majorEastAsia" w:cs="Arial"/>
                <w:sz w:val="24"/>
                <w:szCs w:val="24"/>
              </w:rPr>
              <w:t xml:space="preserve"> </w:t>
            </w:r>
            <w:proofErr w:type="spellStart"/>
            <w:r>
              <w:rPr>
                <w:rFonts w:eastAsiaTheme="majorEastAsia" w:cs="Arial"/>
                <w:sz w:val="24"/>
                <w:szCs w:val="24"/>
              </w:rPr>
              <w:t>cx</w:t>
            </w:r>
            <w:proofErr w:type="spellEnd"/>
          </w:p>
        </w:tc>
        <w:tc>
          <w:tcPr>
            <w:tcW w:w="1559" w:type="dxa"/>
            <w:tcBorders>
              <w:top w:val="single" w:sz="6" w:space="0" w:color="auto"/>
              <w:left w:val="single" w:sz="6" w:space="0" w:color="auto"/>
              <w:bottom w:val="single" w:sz="6" w:space="0" w:color="auto"/>
              <w:right w:val="single" w:sz="6" w:space="0" w:color="auto"/>
            </w:tcBorders>
          </w:tcPr>
          <w:p w:rsidR="00CE716E" w:rsidRDefault="00CE716E" w:rsidP="00CE716E">
            <w:pPr>
              <w:spacing w:line="256" w:lineRule="auto"/>
              <w:jc w:val="both"/>
              <w:textAlignment w:val="baseline"/>
              <w:rPr>
                <w:rFonts w:cs="Arial"/>
                <w:color w:val="000000" w:themeColor="text1"/>
                <w:szCs w:val="22"/>
                <w:lang w:eastAsia="pt-BR"/>
              </w:rPr>
            </w:pPr>
          </w:p>
        </w:tc>
      </w:tr>
      <w:tr w:rsidR="00CE716E" w:rsidTr="007C215E">
        <w:tc>
          <w:tcPr>
            <w:tcW w:w="701" w:type="dxa"/>
            <w:tcBorders>
              <w:top w:val="single" w:sz="6" w:space="0" w:color="auto"/>
              <w:left w:val="single" w:sz="6" w:space="0" w:color="auto"/>
              <w:bottom w:val="single" w:sz="6" w:space="0" w:color="auto"/>
              <w:right w:val="single" w:sz="6" w:space="0" w:color="auto"/>
            </w:tcBorders>
            <w:hideMark/>
          </w:tcPr>
          <w:p w:rsidR="00CE716E" w:rsidRPr="008061A6" w:rsidRDefault="00CE716E" w:rsidP="00CE716E">
            <w:pPr>
              <w:spacing w:line="256" w:lineRule="auto"/>
              <w:jc w:val="both"/>
              <w:textAlignment w:val="baseline"/>
              <w:rPr>
                <w:rFonts w:cs="Arial"/>
                <w:color w:val="000000" w:themeColor="text1"/>
                <w:szCs w:val="22"/>
                <w:lang w:eastAsia="pt-BR"/>
              </w:rPr>
            </w:pPr>
            <w:r w:rsidRPr="008061A6">
              <w:rPr>
                <w:rFonts w:cs="Arial"/>
                <w:color w:val="000000" w:themeColor="text1"/>
                <w:szCs w:val="22"/>
                <w:lang w:eastAsia="pt-BR"/>
              </w:rPr>
              <w:t>19</w:t>
            </w:r>
          </w:p>
        </w:tc>
        <w:tc>
          <w:tcPr>
            <w:tcW w:w="4536" w:type="dxa"/>
            <w:tcBorders>
              <w:top w:val="single" w:sz="6" w:space="0" w:color="auto"/>
              <w:left w:val="single" w:sz="6" w:space="0" w:color="auto"/>
              <w:bottom w:val="single" w:sz="6" w:space="0" w:color="auto"/>
              <w:right w:val="single" w:sz="6" w:space="0" w:color="auto"/>
            </w:tcBorders>
            <w:vAlign w:val="center"/>
          </w:tcPr>
          <w:p w:rsidR="00CE716E" w:rsidRPr="00CE716E" w:rsidRDefault="00CE716E" w:rsidP="00CE716E">
            <w:pPr>
              <w:rPr>
                <w:rFonts w:eastAsiaTheme="majorEastAsia" w:cs="Arial"/>
                <w:sz w:val="24"/>
                <w:szCs w:val="24"/>
              </w:rPr>
            </w:pPr>
            <w:proofErr w:type="spellStart"/>
            <w:r w:rsidRPr="00CE716E">
              <w:rPr>
                <w:rFonts w:eastAsiaTheme="majorEastAsia" w:cs="Arial"/>
                <w:sz w:val="24"/>
                <w:szCs w:val="24"/>
              </w:rPr>
              <w:t>Tenoxicam</w:t>
            </w:r>
            <w:proofErr w:type="spellEnd"/>
            <w:r w:rsidRPr="00CE716E">
              <w:rPr>
                <w:rFonts w:eastAsiaTheme="majorEastAsia" w:cs="Arial"/>
                <w:sz w:val="24"/>
                <w:szCs w:val="24"/>
              </w:rPr>
              <w:t xml:space="preserve"> 40mg </w:t>
            </w:r>
            <w:proofErr w:type="spellStart"/>
            <w:r w:rsidRPr="00CE716E">
              <w:rPr>
                <w:rFonts w:eastAsiaTheme="majorEastAsia" w:cs="Arial"/>
                <w:sz w:val="24"/>
                <w:szCs w:val="24"/>
              </w:rPr>
              <w:t>Cx</w:t>
            </w:r>
            <w:proofErr w:type="spellEnd"/>
            <w:r w:rsidRPr="00CE716E">
              <w:rPr>
                <w:rFonts w:eastAsiaTheme="majorEastAsia" w:cs="Arial"/>
                <w:sz w:val="24"/>
                <w:szCs w:val="24"/>
              </w:rPr>
              <w:t xml:space="preserve"> C/50 Frascos</w:t>
            </w:r>
          </w:p>
        </w:tc>
        <w:tc>
          <w:tcPr>
            <w:tcW w:w="1134" w:type="dxa"/>
            <w:tcBorders>
              <w:top w:val="single" w:sz="6" w:space="0" w:color="auto"/>
              <w:left w:val="single" w:sz="6" w:space="0" w:color="auto"/>
              <w:bottom w:val="single" w:sz="6" w:space="0" w:color="auto"/>
              <w:right w:val="single" w:sz="6" w:space="0" w:color="auto"/>
            </w:tcBorders>
            <w:vAlign w:val="center"/>
          </w:tcPr>
          <w:p w:rsidR="00CE716E" w:rsidRPr="00CE716E" w:rsidRDefault="00CE716E" w:rsidP="00CE716E">
            <w:pPr>
              <w:rPr>
                <w:rFonts w:eastAsiaTheme="majorEastAsia" w:cs="Arial"/>
                <w:sz w:val="24"/>
                <w:szCs w:val="24"/>
              </w:rPr>
            </w:pPr>
            <w:r w:rsidRPr="00CE716E">
              <w:rPr>
                <w:rFonts w:eastAsiaTheme="majorEastAsia" w:cs="Arial"/>
                <w:sz w:val="24"/>
                <w:szCs w:val="24"/>
              </w:rPr>
              <w:t>1000</w:t>
            </w:r>
            <w:r>
              <w:rPr>
                <w:rFonts w:eastAsiaTheme="majorEastAsia" w:cs="Arial"/>
                <w:sz w:val="24"/>
                <w:szCs w:val="24"/>
              </w:rPr>
              <w:t xml:space="preserve"> </w:t>
            </w:r>
            <w:proofErr w:type="spellStart"/>
            <w:r>
              <w:rPr>
                <w:rFonts w:eastAsiaTheme="majorEastAsia" w:cs="Arial"/>
                <w:sz w:val="24"/>
                <w:szCs w:val="24"/>
              </w:rPr>
              <w:t>cx</w:t>
            </w:r>
            <w:proofErr w:type="spellEnd"/>
          </w:p>
        </w:tc>
        <w:tc>
          <w:tcPr>
            <w:tcW w:w="1559" w:type="dxa"/>
            <w:tcBorders>
              <w:top w:val="single" w:sz="6" w:space="0" w:color="auto"/>
              <w:left w:val="single" w:sz="6" w:space="0" w:color="auto"/>
              <w:bottom w:val="single" w:sz="6" w:space="0" w:color="auto"/>
              <w:right w:val="single" w:sz="6" w:space="0" w:color="auto"/>
            </w:tcBorders>
          </w:tcPr>
          <w:p w:rsidR="00CE716E" w:rsidRDefault="00CE716E" w:rsidP="00CE716E">
            <w:pPr>
              <w:spacing w:line="256" w:lineRule="auto"/>
              <w:jc w:val="both"/>
              <w:textAlignment w:val="baseline"/>
              <w:rPr>
                <w:rFonts w:cs="Arial"/>
                <w:color w:val="000000" w:themeColor="text1"/>
                <w:szCs w:val="22"/>
                <w:lang w:eastAsia="pt-BR"/>
              </w:rPr>
            </w:pPr>
          </w:p>
        </w:tc>
      </w:tr>
      <w:tr w:rsidR="00CE716E" w:rsidTr="007C215E">
        <w:tc>
          <w:tcPr>
            <w:tcW w:w="701" w:type="dxa"/>
            <w:tcBorders>
              <w:top w:val="single" w:sz="6" w:space="0" w:color="auto"/>
              <w:left w:val="single" w:sz="6" w:space="0" w:color="auto"/>
              <w:bottom w:val="single" w:sz="6" w:space="0" w:color="auto"/>
              <w:right w:val="single" w:sz="6" w:space="0" w:color="auto"/>
            </w:tcBorders>
            <w:hideMark/>
          </w:tcPr>
          <w:p w:rsidR="00CE716E" w:rsidRPr="008061A6" w:rsidRDefault="00CE716E" w:rsidP="00CE716E">
            <w:pPr>
              <w:spacing w:line="256" w:lineRule="auto"/>
              <w:jc w:val="both"/>
              <w:textAlignment w:val="baseline"/>
              <w:rPr>
                <w:rFonts w:cs="Arial"/>
                <w:color w:val="000000" w:themeColor="text1"/>
                <w:szCs w:val="22"/>
                <w:lang w:eastAsia="pt-BR"/>
              </w:rPr>
            </w:pPr>
            <w:r w:rsidRPr="008061A6">
              <w:rPr>
                <w:rFonts w:cs="Arial"/>
                <w:color w:val="000000" w:themeColor="text1"/>
                <w:szCs w:val="22"/>
                <w:lang w:eastAsia="pt-BR"/>
              </w:rPr>
              <w:t>20</w:t>
            </w:r>
          </w:p>
        </w:tc>
        <w:tc>
          <w:tcPr>
            <w:tcW w:w="4536" w:type="dxa"/>
            <w:tcBorders>
              <w:top w:val="single" w:sz="6" w:space="0" w:color="auto"/>
              <w:left w:val="single" w:sz="6" w:space="0" w:color="auto"/>
              <w:bottom w:val="single" w:sz="6" w:space="0" w:color="auto"/>
              <w:right w:val="single" w:sz="6" w:space="0" w:color="auto"/>
            </w:tcBorders>
            <w:vAlign w:val="center"/>
          </w:tcPr>
          <w:p w:rsidR="00CE716E" w:rsidRPr="00CE716E" w:rsidRDefault="00CE716E" w:rsidP="00CE716E">
            <w:pPr>
              <w:rPr>
                <w:rFonts w:eastAsiaTheme="majorEastAsia" w:cs="Arial"/>
                <w:sz w:val="24"/>
                <w:szCs w:val="24"/>
              </w:rPr>
            </w:pPr>
            <w:proofErr w:type="spellStart"/>
            <w:r w:rsidRPr="00CE716E">
              <w:rPr>
                <w:rFonts w:eastAsiaTheme="majorEastAsia" w:cs="Arial"/>
                <w:sz w:val="24"/>
                <w:szCs w:val="24"/>
              </w:rPr>
              <w:t>Transamin</w:t>
            </w:r>
            <w:proofErr w:type="spellEnd"/>
            <w:r w:rsidRPr="00CE716E">
              <w:rPr>
                <w:rFonts w:eastAsiaTheme="majorEastAsia" w:cs="Arial"/>
                <w:sz w:val="24"/>
                <w:szCs w:val="24"/>
              </w:rPr>
              <w:t xml:space="preserve"> 50mg 5ml </w:t>
            </w:r>
            <w:proofErr w:type="spellStart"/>
            <w:r w:rsidRPr="00CE716E">
              <w:rPr>
                <w:rFonts w:eastAsiaTheme="majorEastAsia" w:cs="Arial"/>
                <w:sz w:val="24"/>
                <w:szCs w:val="24"/>
              </w:rPr>
              <w:t>Cx</w:t>
            </w:r>
            <w:proofErr w:type="spellEnd"/>
            <w:r w:rsidRPr="00CE716E">
              <w:rPr>
                <w:rFonts w:eastAsiaTheme="majorEastAsia" w:cs="Arial"/>
                <w:sz w:val="24"/>
                <w:szCs w:val="24"/>
              </w:rPr>
              <w:t xml:space="preserve"> C/100 Ampolas</w:t>
            </w:r>
          </w:p>
        </w:tc>
        <w:tc>
          <w:tcPr>
            <w:tcW w:w="1134" w:type="dxa"/>
            <w:tcBorders>
              <w:top w:val="single" w:sz="6" w:space="0" w:color="auto"/>
              <w:left w:val="single" w:sz="6" w:space="0" w:color="auto"/>
              <w:bottom w:val="single" w:sz="6" w:space="0" w:color="auto"/>
              <w:right w:val="single" w:sz="6" w:space="0" w:color="auto"/>
            </w:tcBorders>
            <w:vAlign w:val="center"/>
          </w:tcPr>
          <w:p w:rsidR="00CE716E" w:rsidRPr="00CE716E" w:rsidRDefault="00CE716E" w:rsidP="00CE716E">
            <w:pPr>
              <w:rPr>
                <w:rFonts w:eastAsiaTheme="majorEastAsia" w:cs="Arial"/>
                <w:sz w:val="24"/>
                <w:szCs w:val="24"/>
              </w:rPr>
            </w:pPr>
            <w:r w:rsidRPr="00CE716E">
              <w:rPr>
                <w:rFonts w:eastAsiaTheme="majorEastAsia" w:cs="Arial"/>
                <w:sz w:val="24"/>
                <w:szCs w:val="24"/>
              </w:rPr>
              <w:t>1000</w:t>
            </w:r>
            <w:r>
              <w:rPr>
                <w:rFonts w:eastAsiaTheme="majorEastAsia" w:cs="Arial"/>
                <w:sz w:val="24"/>
                <w:szCs w:val="24"/>
              </w:rPr>
              <w:t xml:space="preserve"> </w:t>
            </w:r>
            <w:proofErr w:type="spellStart"/>
            <w:r>
              <w:rPr>
                <w:rFonts w:eastAsiaTheme="majorEastAsia" w:cs="Arial"/>
                <w:sz w:val="24"/>
                <w:szCs w:val="24"/>
              </w:rPr>
              <w:t>cx</w:t>
            </w:r>
            <w:proofErr w:type="spellEnd"/>
          </w:p>
        </w:tc>
        <w:tc>
          <w:tcPr>
            <w:tcW w:w="1559" w:type="dxa"/>
            <w:tcBorders>
              <w:top w:val="single" w:sz="6" w:space="0" w:color="auto"/>
              <w:left w:val="single" w:sz="6" w:space="0" w:color="auto"/>
              <w:bottom w:val="single" w:sz="6" w:space="0" w:color="auto"/>
              <w:right w:val="single" w:sz="6" w:space="0" w:color="auto"/>
            </w:tcBorders>
          </w:tcPr>
          <w:p w:rsidR="00CE716E" w:rsidRDefault="00CE716E" w:rsidP="00CE716E">
            <w:pPr>
              <w:spacing w:line="256" w:lineRule="auto"/>
              <w:jc w:val="both"/>
              <w:textAlignment w:val="baseline"/>
              <w:rPr>
                <w:rFonts w:cs="Arial"/>
                <w:color w:val="000000" w:themeColor="text1"/>
                <w:szCs w:val="22"/>
                <w:lang w:eastAsia="pt-BR"/>
              </w:rPr>
            </w:pPr>
          </w:p>
        </w:tc>
      </w:tr>
      <w:tr w:rsidR="00CE716E" w:rsidTr="007C215E">
        <w:tc>
          <w:tcPr>
            <w:tcW w:w="701" w:type="dxa"/>
            <w:tcBorders>
              <w:top w:val="single" w:sz="6" w:space="0" w:color="auto"/>
              <w:left w:val="single" w:sz="6" w:space="0" w:color="auto"/>
              <w:bottom w:val="single" w:sz="6" w:space="0" w:color="auto"/>
              <w:right w:val="single" w:sz="6" w:space="0" w:color="auto"/>
            </w:tcBorders>
            <w:hideMark/>
          </w:tcPr>
          <w:p w:rsidR="00CE716E" w:rsidRPr="008061A6" w:rsidRDefault="00CE716E" w:rsidP="00CE716E">
            <w:pPr>
              <w:spacing w:line="256" w:lineRule="auto"/>
              <w:jc w:val="both"/>
              <w:textAlignment w:val="baseline"/>
              <w:rPr>
                <w:rFonts w:cs="Arial"/>
                <w:color w:val="000000" w:themeColor="text1"/>
                <w:szCs w:val="22"/>
                <w:lang w:eastAsia="pt-BR"/>
              </w:rPr>
            </w:pPr>
            <w:r w:rsidRPr="008061A6">
              <w:rPr>
                <w:rFonts w:cs="Arial"/>
                <w:color w:val="000000" w:themeColor="text1"/>
                <w:szCs w:val="22"/>
                <w:lang w:eastAsia="pt-BR"/>
              </w:rPr>
              <w:t>21</w:t>
            </w:r>
          </w:p>
        </w:tc>
        <w:tc>
          <w:tcPr>
            <w:tcW w:w="4536" w:type="dxa"/>
            <w:tcBorders>
              <w:top w:val="single" w:sz="6" w:space="0" w:color="auto"/>
              <w:left w:val="single" w:sz="6" w:space="0" w:color="auto"/>
              <w:bottom w:val="single" w:sz="6" w:space="0" w:color="auto"/>
              <w:right w:val="single" w:sz="6" w:space="0" w:color="auto"/>
            </w:tcBorders>
            <w:vAlign w:val="center"/>
          </w:tcPr>
          <w:p w:rsidR="00CE716E" w:rsidRPr="00CE716E" w:rsidRDefault="00CE716E" w:rsidP="00CE716E">
            <w:pPr>
              <w:rPr>
                <w:rFonts w:eastAsiaTheme="majorEastAsia" w:cs="Arial"/>
                <w:sz w:val="24"/>
                <w:szCs w:val="24"/>
              </w:rPr>
            </w:pPr>
            <w:r w:rsidRPr="00CE716E">
              <w:rPr>
                <w:rFonts w:eastAsiaTheme="majorEastAsia" w:cs="Arial"/>
                <w:sz w:val="24"/>
                <w:szCs w:val="24"/>
              </w:rPr>
              <w:t xml:space="preserve">Vitamina K 10mg 1ml </w:t>
            </w:r>
            <w:proofErr w:type="spellStart"/>
            <w:r w:rsidRPr="00CE716E">
              <w:rPr>
                <w:rFonts w:eastAsiaTheme="majorEastAsia" w:cs="Arial"/>
                <w:sz w:val="24"/>
                <w:szCs w:val="24"/>
              </w:rPr>
              <w:t>Cx</w:t>
            </w:r>
            <w:proofErr w:type="spellEnd"/>
            <w:r w:rsidRPr="00CE716E">
              <w:rPr>
                <w:rFonts w:eastAsiaTheme="majorEastAsia" w:cs="Arial"/>
                <w:sz w:val="24"/>
                <w:szCs w:val="24"/>
              </w:rPr>
              <w:t xml:space="preserve"> C/50 Ampolas</w:t>
            </w:r>
          </w:p>
        </w:tc>
        <w:tc>
          <w:tcPr>
            <w:tcW w:w="1134" w:type="dxa"/>
            <w:tcBorders>
              <w:top w:val="single" w:sz="6" w:space="0" w:color="auto"/>
              <w:left w:val="single" w:sz="6" w:space="0" w:color="auto"/>
              <w:bottom w:val="single" w:sz="6" w:space="0" w:color="auto"/>
              <w:right w:val="single" w:sz="6" w:space="0" w:color="auto"/>
            </w:tcBorders>
            <w:vAlign w:val="center"/>
          </w:tcPr>
          <w:p w:rsidR="00CE716E" w:rsidRPr="00CE716E" w:rsidRDefault="00CE716E" w:rsidP="00CE716E">
            <w:pPr>
              <w:rPr>
                <w:rFonts w:eastAsiaTheme="majorEastAsia" w:cs="Arial"/>
                <w:sz w:val="24"/>
                <w:szCs w:val="24"/>
              </w:rPr>
            </w:pPr>
            <w:r w:rsidRPr="00CE716E">
              <w:rPr>
                <w:rFonts w:eastAsiaTheme="majorEastAsia" w:cs="Arial"/>
                <w:sz w:val="24"/>
                <w:szCs w:val="24"/>
              </w:rPr>
              <w:t>1000</w:t>
            </w:r>
            <w:r>
              <w:rPr>
                <w:rFonts w:eastAsiaTheme="majorEastAsia" w:cs="Arial"/>
                <w:sz w:val="24"/>
                <w:szCs w:val="24"/>
              </w:rPr>
              <w:t xml:space="preserve"> </w:t>
            </w:r>
            <w:proofErr w:type="spellStart"/>
            <w:r>
              <w:rPr>
                <w:rFonts w:eastAsiaTheme="majorEastAsia" w:cs="Arial"/>
                <w:sz w:val="24"/>
                <w:szCs w:val="24"/>
              </w:rPr>
              <w:t>cx</w:t>
            </w:r>
            <w:proofErr w:type="spellEnd"/>
          </w:p>
        </w:tc>
        <w:tc>
          <w:tcPr>
            <w:tcW w:w="1559" w:type="dxa"/>
            <w:tcBorders>
              <w:top w:val="single" w:sz="6" w:space="0" w:color="auto"/>
              <w:left w:val="single" w:sz="6" w:space="0" w:color="auto"/>
              <w:bottom w:val="single" w:sz="6" w:space="0" w:color="auto"/>
              <w:right w:val="single" w:sz="6" w:space="0" w:color="auto"/>
            </w:tcBorders>
          </w:tcPr>
          <w:p w:rsidR="00CE716E" w:rsidRDefault="00CE716E" w:rsidP="00CE716E">
            <w:pPr>
              <w:spacing w:line="256" w:lineRule="auto"/>
              <w:jc w:val="both"/>
              <w:textAlignment w:val="baseline"/>
              <w:rPr>
                <w:rFonts w:cs="Arial"/>
                <w:color w:val="000000" w:themeColor="text1"/>
                <w:szCs w:val="22"/>
                <w:lang w:eastAsia="pt-BR"/>
              </w:rPr>
            </w:pPr>
          </w:p>
        </w:tc>
      </w:tr>
      <w:tr w:rsidR="00CE716E" w:rsidTr="007C215E">
        <w:tc>
          <w:tcPr>
            <w:tcW w:w="701" w:type="dxa"/>
            <w:tcBorders>
              <w:top w:val="single" w:sz="6" w:space="0" w:color="auto"/>
              <w:left w:val="single" w:sz="6" w:space="0" w:color="auto"/>
              <w:bottom w:val="single" w:sz="6" w:space="0" w:color="auto"/>
              <w:right w:val="single" w:sz="6" w:space="0" w:color="auto"/>
            </w:tcBorders>
            <w:hideMark/>
          </w:tcPr>
          <w:p w:rsidR="00CE716E" w:rsidRPr="008061A6" w:rsidRDefault="00CE716E" w:rsidP="00CE716E">
            <w:pPr>
              <w:spacing w:line="256" w:lineRule="auto"/>
              <w:jc w:val="both"/>
              <w:textAlignment w:val="baseline"/>
              <w:rPr>
                <w:rFonts w:cs="Arial"/>
                <w:color w:val="000000" w:themeColor="text1"/>
                <w:szCs w:val="22"/>
                <w:lang w:eastAsia="pt-BR"/>
              </w:rPr>
            </w:pPr>
            <w:r w:rsidRPr="008061A6">
              <w:rPr>
                <w:rFonts w:cs="Arial"/>
                <w:color w:val="000000" w:themeColor="text1"/>
                <w:szCs w:val="22"/>
                <w:lang w:eastAsia="pt-BR"/>
              </w:rPr>
              <w:t>22</w:t>
            </w:r>
          </w:p>
        </w:tc>
        <w:tc>
          <w:tcPr>
            <w:tcW w:w="4536" w:type="dxa"/>
            <w:tcBorders>
              <w:top w:val="single" w:sz="6" w:space="0" w:color="auto"/>
              <w:left w:val="single" w:sz="6" w:space="0" w:color="auto"/>
              <w:bottom w:val="single" w:sz="6" w:space="0" w:color="auto"/>
              <w:right w:val="single" w:sz="6" w:space="0" w:color="auto"/>
            </w:tcBorders>
            <w:vAlign w:val="center"/>
          </w:tcPr>
          <w:p w:rsidR="00CE716E" w:rsidRPr="00CE716E" w:rsidRDefault="00CE716E" w:rsidP="00CE716E">
            <w:pPr>
              <w:rPr>
                <w:rFonts w:eastAsiaTheme="majorEastAsia" w:cs="Arial"/>
                <w:sz w:val="24"/>
                <w:szCs w:val="24"/>
              </w:rPr>
            </w:pPr>
            <w:r w:rsidRPr="00CE716E">
              <w:rPr>
                <w:rFonts w:eastAsiaTheme="majorEastAsia" w:cs="Arial"/>
                <w:sz w:val="24"/>
                <w:szCs w:val="24"/>
              </w:rPr>
              <w:t>Complexo B ampola IV</w:t>
            </w:r>
          </w:p>
        </w:tc>
        <w:tc>
          <w:tcPr>
            <w:tcW w:w="1134" w:type="dxa"/>
            <w:tcBorders>
              <w:top w:val="single" w:sz="6" w:space="0" w:color="auto"/>
              <w:left w:val="single" w:sz="6" w:space="0" w:color="auto"/>
              <w:bottom w:val="single" w:sz="6" w:space="0" w:color="auto"/>
              <w:right w:val="single" w:sz="6" w:space="0" w:color="auto"/>
            </w:tcBorders>
            <w:vAlign w:val="center"/>
          </w:tcPr>
          <w:p w:rsidR="00CE716E" w:rsidRPr="00CE716E" w:rsidRDefault="00CE716E" w:rsidP="00CE716E">
            <w:pPr>
              <w:rPr>
                <w:rFonts w:eastAsiaTheme="majorEastAsia" w:cs="Arial"/>
                <w:sz w:val="24"/>
                <w:szCs w:val="24"/>
              </w:rPr>
            </w:pPr>
            <w:r w:rsidRPr="00CE716E">
              <w:rPr>
                <w:rFonts w:eastAsiaTheme="majorEastAsia" w:cs="Arial"/>
                <w:sz w:val="24"/>
                <w:szCs w:val="24"/>
              </w:rPr>
              <w:t>1000</w:t>
            </w:r>
            <w:r w:rsidR="00AB0F24">
              <w:rPr>
                <w:rFonts w:eastAsiaTheme="majorEastAsia" w:cs="Arial"/>
                <w:sz w:val="24"/>
                <w:szCs w:val="24"/>
              </w:rPr>
              <w:t xml:space="preserve"> unid.</w:t>
            </w:r>
            <w:bookmarkStart w:id="0" w:name="_GoBack"/>
            <w:bookmarkEnd w:id="0"/>
          </w:p>
        </w:tc>
        <w:tc>
          <w:tcPr>
            <w:tcW w:w="1559" w:type="dxa"/>
            <w:tcBorders>
              <w:top w:val="single" w:sz="6" w:space="0" w:color="auto"/>
              <w:left w:val="single" w:sz="6" w:space="0" w:color="auto"/>
              <w:bottom w:val="single" w:sz="6" w:space="0" w:color="auto"/>
              <w:right w:val="single" w:sz="6" w:space="0" w:color="auto"/>
            </w:tcBorders>
          </w:tcPr>
          <w:p w:rsidR="00CE716E" w:rsidRDefault="00CE716E" w:rsidP="00CE716E">
            <w:pPr>
              <w:spacing w:line="256" w:lineRule="auto"/>
              <w:jc w:val="both"/>
              <w:textAlignment w:val="baseline"/>
              <w:rPr>
                <w:rFonts w:cs="Arial"/>
                <w:color w:val="000000" w:themeColor="text1"/>
                <w:szCs w:val="22"/>
                <w:lang w:eastAsia="pt-BR"/>
              </w:rPr>
            </w:pPr>
          </w:p>
        </w:tc>
      </w:tr>
      <w:tr w:rsidR="00CE716E" w:rsidTr="007C215E">
        <w:tc>
          <w:tcPr>
            <w:tcW w:w="701" w:type="dxa"/>
            <w:tcBorders>
              <w:top w:val="single" w:sz="6" w:space="0" w:color="auto"/>
              <w:left w:val="single" w:sz="6" w:space="0" w:color="auto"/>
              <w:bottom w:val="single" w:sz="6" w:space="0" w:color="auto"/>
              <w:right w:val="single" w:sz="6" w:space="0" w:color="auto"/>
            </w:tcBorders>
            <w:hideMark/>
          </w:tcPr>
          <w:p w:rsidR="00CE716E" w:rsidRPr="008061A6" w:rsidRDefault="00CE716E" w:rsidP="00CE716E">
            <w:pPr>
              <w:spacing w:line="256" w:lineRule="auto"/>
              <w:jc w:val="both"/>
              <w:textAlignment w:val="baseline"/>
              <w:rPr>
                <w:rFonts w:cs="Arial"/>
                <w:color w:val="000000" w:themeColor="text1"/>
                <w:szCs w:val="22"/>
                <w:lang w:eastAsia="pt-BR"/>
              </w:rPr>
            </w:pPr>
            <w:r w:rsidRPr="008061A6">
              <w:rPr>
                <w:rFonts w:cs="Arial"/>
                <w:color w:val="000000" w:themeColor="text1"/>
                <w:szCs w:val="22"/>
                <w:lang w:eastAsia="pt-BR"/>
              </w:rPr>
              <w:t>23</w:t>
            </w:r>
          </w:p>
        </w:tc>
        <w:tc>
          <w:tcPr>
            <w:tcW w:w="4536" w:type="dxa"/>
            <w:tcBorders>
              <w:top w:val="single" w:sz="6" w:space="0" w:color="auto"/>
              <w:left w:val="single" w:sz="6" w:space="0" w:color="auto"/>
              <w:bottom w:val="single" w:sz="6" w:space="0" w:color="auto"/>
              <w:right w:val="single" w:sz="6" w:space="0" w:color="auto"/>
            </w:tcBorders>
            <w:vAlign w:val="center"/>
          </w:tcPr>
          <w:p w:rsidR="00CE716E" w:rsidRPr="00CE716E" w:rsidRDefault="00CE716E" w:rsidP="00CE716E">
            <w:pPr>
              <w:rPr>
                <w:rFonts w:eastAsiaTheme="majorEastAsia" w:cs="Arial"/>
                <w:sz w:val="24"/>
                <w:szCs w:val="24"/>
              </w:rPr>
            </w:pPr>
            <w:proofErr w:type="spellStart"/>
            <w:r w:rsidRPr="00CE716E">
              <w:rPr>
                <w:rFonts w:cs="Arial"/>
                <w:sz w:val="24"/>
                <w:szCs w:val="24"/>
                <w:lang w:eastAsia="pt-BR"/>
              </w:rPr>
              <w:t>Clopidogrel</w:t>
            </w:r>
            <w:proofErr w:type="spellEnd"/>
            <w:r w:rsidRPr="00CE716E">
              <w:rPr>
                <w:rFonts w:cs="Arial"/>
                <w:sz w:val="24"/>
                <w:szCs w:val="24"/>
                <w:lang w:eastAsia="pt-BR"/>
              </w:rPr>
              <w:t xml:space="preserve"> 75mg comprimido VO </w:t>
            </w:r>
            <w:proofErr w:type="spellStart"/>
            <w:r w:rsidRPr="00CE716E">
              <w:rPr>
                <w:rFonts w:cs="Arial"/>
                <w:sz w:val="24"/>
                <w:szCs w:val="24"/>
                <w:lang w:eastAsia="pt-BR"/>
              </w:rPr>
              <w:t>cx</w:t>
            </w:r>
            <w:proofErr w:type="spellEnd"/>
            <w:r w:rsidRPr="00CE716E">
              <w:rPr>
                <w:rFonts w:cs="Arial"/>
                <w:sz w:val="24"/>
                <w:szCs w:val="24"/>
                <w:lang w:eastAsia="pt-BR"/>
              </w:rPr>
              <w:t xml:space="preserve"> c/ 28</w:t>
            </w:r>
          </w:p>
        </w:tc>
        <w:tc>
          <w:tcPr>
            <w:tcW w:w="1134" w:type="dxa"/>
            <w:tcBorders>
              <w:top w:val="single" w:sz="6" w:space="0" w:color="auto"/>
              <w:left w:val="single" w:sz="6" w:space="0" w:color="auto"/>
              <w:bottom w:val="single" w:sz="6" w:space="0" w:color="auto"/>
              <w:right w:val="single" w:sz="6" w:space="0" w:color="auto"/>
            </w:tcBorders>
            <w:vAlign w:val="center"/>
          </w:tcPr>
          <w:p w:rsidR="00CE716E" w:rsidRPr="00CE716E" w:rsidRDefault="00CE716E" w:rsidP="00CE716E">
            <w:pPr>
              <w:rPr>
                <w:rFonts w:eastAsiaTheme="majorEastAsia" w:cs="Arial"/>
                <w:sz w:val="24"/>
                <w:szCs w:val="24"/>
              </w:rPr>
            </w:pPr>
            <w:r w:rsidRPr="00CE716E">
              <w:rPr>
                <w:rFonts w:eastAsiaTheme="majorEastAsia" w:cs="Arial"/>
                <w:sz w:val="24"/>
                <w:szCs w:val="24"/>
              </w:rPr>
              <w:t>1000</w:t>
            </w:r>
            <w:r>
              <w:rPr>
                <w:rFonts w:eastAsiaTheme="majorEastAsia" w:cs="Arial"/>
                <w:sz w:val="24"/>
                <w:szCs w:val="24"/>
              </w:rPr>
              <w:t xml:space="preserve"> </w:t>
            </w:r>
            <w:proofErr w:type="spellStart"/>
            <w:r>
              <w:rPr>
                <w:rFonts w:eastAsiaTheme="majorEastAsia" w:cs="Arial"/>
                <w:sz w:val="24"/>
                <w:szCs w:val="24"/>
              </w:rPr>
              <w:t>cx</w:t>
            </w:r>
            <w:proofErr w:type="spellEnd"/>
          </w:p>
        </w:tc>
        <w:tc>
          <w:tcPr>
            <w:tcW w:w="1559" w:type="dxa"/>
            <w:tcBorders>
              <w:top w:val="single" w:sz="6" w:space="0" w:color="auto"/>
              <w:left w:val="single" w:sz="6" w:space="0" w:color="auto"/>
              <w:bottom w:val="single" w:sz="6" w:space="0" w:color="auto"/>
              <w:right w:val="single" w:sz="6" w:space="0" w:color="auto"/>
            </w:tcBorders>
          </w:tcPr>
          <w:p w:rsidR="00CE716E" w:rsidRDefault="00CE716E" w:rsidP="00CE716E">
            <w:pPr>
              <w:spacing w:line="256" w:lineRule="auto"/>
              <w:jc w:val="both"/>
              <w:textAlignment w:val="baseline"/>
              <w:rPr>
                <w:rFonts w:cs="Arial"/>
                <w:color w:val="000000" w:themeColor="text1"/>
                <w:szCs w:val="22"/>
                <w:lang w:eastAsia="pt-BR"/>
              </w:rPr>
            </w:pPr>
          </w:p>
        </w:tc>
      </w:tr>
      <w:tr w:rsidR="00CE716E" w:rsidTr="007C215E">
        <w:tc>
          <w:tcPr>
            <w:tcW w:w="701" w:type="dxa"/>
            <w:tcBorders>
              <w:top w:val="single" w:sz="6" w:space="0" w:color="auto"/>
              <w:left w:val="single" w:sz="6" w:space="0" w:color="auto"/>
              <w:bottom w:val="single" w:sz="6" w:space="0" w:color="auto"/>
              <w:right w:val="single" w:sz="6" w:space="0" w:color="auto"/>
            </w:tcBorders>
            <w:hideMark/>
          </w:tcPr>
          <w:p w:rsidR="00CE716E" w:rsidRPr="008061A6" w:rsidRDefault="00CE716E" w:rsidP="00CE716E">
            <w:pPr>
              <w:spacing w:line="256" w:lineRule="auto"/>
              <w:jc w:val="both"/>
              <w:textAlignment w:val="baseline"/>
              <w:rPr>
                <w:rFonts w:cs="Arial"/>
                <w:color w:val="000000" w:themeColor="text1"/>
                <w:szCs w:val="22"/>
                <w:lang w:eastAsia="pt-BR"/>
              </w:rPr>
            </w:pPr>
            <w:r w:rsidRPr="008061A6">
              <w:rPr>
                <w:rFonts w:cs="Arial"/>
                <w:color w:val="000000" w:themeColor="text1"/>
                <w:szCs w:val="22"/>
                <w:lang w:eastAsia="pt-BR"/>
              </w:rPr>
              <w:t>24</w:t>
            </w:r>
          </w:p>
        </w:tc>
        <w:tc>
          <w:tcPr>
            <w:tcW w:w="4536" w:type="dxa"/>
            <w:tcBorders>
              <w:top w:val="single" w:sz="6" w:space="0" w:color="auto"/>
              <w:left w:val="single" w:sz="6" w:space="0" w:color="auto"/>
              <w:bottom w:val="single" w:sz="6" w:space="0" w:color="auto"/>
              <w:right w:val="single" w:sz="6" w:space="0" w:color="auto"/>
            </w:tcBorders>
            <w:vAlign w:val="center"/>
          </w:tcPr>
          <w:p w:rsidR="00CE716E" w:rsidRPr="00CE716E" w:rsidRDefault="00CE716E" w:rsidP="00CE716E">
            <w:pPr>
              <w:rPr>
                <w:rFonts w:cs="Arial"/>
                <w:sz w:val="24"/>
                <w:szCs w:val="24"/>
                <w:lang w:eastAsia="pt-BR"/>
              </w:rPr>
            </w:pPr>
            <w:proofErr w:type="spellStart"/>
            <w:r w:rsidRPr="00CE716E">
              <w:rPr>
                <w:rFonts w:cs="Arial"/>
                <w:sz w:val="24"/>
                <w:szCs w:val="24"/>
                <w:lang w:eastAsia="pt-BR"/>
              </w:rPr>
              <w:t>Atensina</w:t>
            </w:r>
            <w:proofErr w:type="spellEnd"/>
            <w:r w:rsidRPr="00CE716E">
              <w:rPr>
                <w:rFonts w:cs="Arial"/>
                <w:sz w:val="24"/>
                <w:szCs w:val="24"/>
                <w:lang w:eastAsia="pt-BR"/>
              </w:rPr>
              <w:t xml:space="preserve"> 0.125mg comprimido VO</w:t>
            </w:r>
          </w:p>
        </w:tc>
        <w:tc>
          <w:tcPr>
            <w:tcW w:w="1134" w:type="dxa"/>
            <w:tcBorders>
              <w:top w:val="single" w:sz="6" w:space="0" w:color="auto"/>
              <w:left w:val="single" w:sz="6" w:space="0" w:color="auto"/>
              <w:bottom w:val="single" w:sz="6" w:space="0" w:color="auto"/>
              <w:right w:val="single" w:sz="6" w:space="0" w:color="auto"/>
            </w:tcBorders>
            <w:vAlign w:val="center"/>
          </w:tcPr>
          <w:p w:rsidR="00CE716E" w:rsidRPr="00CE716E" w:rsidRDefault="00CE716E" w:rsidP="00CE716E">
            <w:pPr>
              <w:rPr>
                <w:rFonts w:eastAsiaTheme="majorEastAsia" w:cs="Arial"/>
                <w:sz w:val="24"/>
                <w:szCs w:val="24"/>
              </w:rPr>
            </w:pPr>
            <w:r w:rsidRPr="00CE716E">
              <w:rPr>
                <w:rFonts w:eastAsiaTheme="majorEastAsia" w:cs="Arial"/>
                <w:sz w:val="24"/>
                <w:szCs w:val="24"/>
              </w:rPr>
              <w:t>1000</w:t>
            </w:r>
            <w:r>
              <w:rPr>
                <w:rFonts w:eastAsiaTheme="majorEastAsia" w:cs="Arial"/>
                <w:sz w:val="24"/>
                <w:szCs w:val="24"/>
              </w:rPr>
              <w:t xml:space="preserve"> </w:t>
            </w:r>
            <w:proofErr w:type="spellStart"/>
            <w:r>
              <w:rPr>
                <w:rFonts w:eastAsiaTheme="majorEastAsia" w:cs="Arial"/>
                <w:sz w:val="24"/>
                <w:szCs w:val="24"/>
              </w:rPr>
              <w:t>unid</w:t>
            </w:r>
            <w:proofErr w:type="spellEnd"/>
          </w:p>
        </w:tc>
        <w:tc>
          <w:tcPr>
            <w:tcW w:w="1559" w:type="dxa"/>
            <w:tcBorders>
              <w:top w:val="single" w:sz="6" w:space="0" w:color="auto"/>
              <w:left w:val="single" w:sz="6" w:space="0" w:color="auto"/>
              <w:bottom w:val="single" w:sz="6" w:space="0" w:color="auto"/>
              <w:right w:val="single" w:sz="6" w:space="0" w:color="auto"/>
            </w:tcBorders>
          </w:tcPr>
          <w:p w:rsidR="00CE716E" w:rsidRDefault="00CE716E" w:rsidP="00CE716E">
            <w:pPr>
              <w:spacing w:line="256" w:lineRule="auto"/>
              <w:jc w:val="both"/>
              <w:textAlignment w:val="baseline"/>
              <w:rPr>
                <w:rFonts w:cs="Arial"/>
                <w:color w:val="000000" w:themeColor="text1"/>
                <w:szCs w:val="22"/>
                <w:lang w:eastAsia="pt-BR"/>
              </w:rPr>
            </w:pPr>
          </w:p>
        </w:tc>
      </w:tr>
      <w:tr w:rsidR="00CE716E" w:rsidTr="007C215E">
        <w:tc>
          <w:tcPr>
            <w:tcW w:w="701" w:type="dxa"/>
            <w:tcBorders>
              <w:top w:val="single" w:sz="6" w:space="0" w:color="auto"/>
              <w:left w:val="single" w:sz="6" w:space="0" w:color="auto"/>
              <w:bottom w:val="single" w:sz="6" w:space="0" w:color="auto"/>
              <w:right w:val="single" w:sz="6" w:space="0" w:color="auto"/>
            </w:tcBorders>
            <w:hideMark/>
          </w:tcPr>
          <w:p w:rsidR="00CE716E" w:rsidRDefault="00CE716E" w:rsidP="00CE716E">
            <w:pPr>
              <w:spacing w:line="256" w:lineRule="auto"/>
              <w:jc w:val="both"/>
              <w:textAlignment w:val="baseline"/>
              <w:rPr>
                <w:rFonts w:cs="Arial"/>
                <w:b/>
                <w:color w:val="000000" w:themeColor="text1"/>
                <w:szCs w:val="22"/>
                <w:lang w:eastAsia="pt-BR"/>
              </w:rPr>
            </w:pPr>
            <w:r>
              <w:rPr>
                <w:rFonts w:cs="Arial"/>
                <w:b/>
                <w:color w:val="000000" w:themeColor="text1"/>
                <w:szCs w:val="22"/>
                <w:lang w:eastAsia="pt-BR"/>
              </w:rPr>
              <w:t>25</w:t>
            </w:r>
          </w:p>
        </w:tc>
        <w:tc>
          <w:tcPr>
            <w:tcW w:w="4536" w:type="dxa"/>
            <w:tcBorders>
              <w:top w:val="single" w:sz="6" w:space="0" w:color="auto"/>
              <w:left w:val="single" w:sz="6" w:space="0" w:color="auto"/>
              <w:bottom w:val="single" w:sz="6" w:space="0" w:color="auto"/>
              <w:right w:val="single" w:sz="6" w:space="0" w:color="auto"/>
            </w:tcBorders>
            <w:vAlign w:val="center"/>
          </w:tcPr>
          <w:p w:rsidR="00CE716E" w:rsidRPr="00CE716E" w:rsidRDefault="00CE716E" w:rsidP="00CE716E">
            <w:pPr>
              <w:rPr>
                <w:rFonts w:cs="Arial"/>
                <w:sz w:val="24"/>
                <w:szCs w:val="24"/>
                <w:lang w:eastAsia="pt-BR"/>
              </w:rPr>
            </w:pPr>
            <w:proofErr w:type="spellStart"/>
            <w:r w:rsidRPr="00CE716E">
              <w:rPr>
                <w:rFonts w:cs="Arial"/>
                <w:sz w:val="24"/>
                <w:szCs w:val="24"/>
                <w:lang w:eastAsia="pt-BR"/>
              </w:rPr>
              <w:t>Dexametasona</w:t>
            </w:r>
            <w:proofErr w:type="spellEnd"/>
            <w:r w:rsidRPr="00CE716E">
              <w:rPr>
                <w:rFonts w:cs="Arial"/>
                <w:sz w:val="24"/>
                <w:szCs w:val="24"/>
                <w:lang w:eastAsia="pt-BR"/>
              </w:rPr>
              <w:t xml:space="preserve"> 2mg ampola IV </w:t>
            </w:r>
            <w:proofErr w:type="spellStart"/>
            <w:r w:rsidRPr="00CE716E">
              <w:rPr>
                <w:rFonts w:cs="Arial"/>
                <w:sz w:val="24"/>
                <w:szCs w:val="24"/>
                <w:lang w:eastAsia="pt-BR"/>
              </w:rPr>
              <w:t>cx</w:t>
            </w:r>
            <w:proofErr w:type="spellEnd"/>
            <w:r w:rsidRPr="00CE716E">
              <w:rPr>
                <w:rFonts w:cs="Arial"/>
                <w:sz w:val="24"/>
                <w:szCs w:val="24"/>
                <w:lang w:eastAsia="pt-BR"/>
              </w:rPr>
              <w:t xml:space="preserve"> c/ 50</w:t>
            </w:r>
          </w:p>
        </w:tc>
        <w:tc>
          <w:tcPr>
            <w:tcW w:w="1134" w:type="dxa"/>
            <w:tcBorders>
              <w:top w:val="single" w:sz="6" w:space="0" w:color="auto"/>
              <w:left w:val="single" w:sz="6" w:space="0" w:color="auto"/>
              <w:bottom w:val="single" w:sz="6" w:space="0" w:color="auto"/>
              <w:right w:val="single" w:sz="6" w:space="0" w:color="auto"/>
            </w:tcBorders>
            <w:vAlign w:val="center"/>
          </w:tcPr>
          <w:p w:rsidR="00CE716E" w:rsidRPr="00CE716E" w:rsidRDefault="00CE716E" w:rsidP="00CE716E">
            <w:pPr>
              <w:rPr>
                <w:rFonts w:eastAsiaTheme="majorEastAsia" w:cs="Arial"/>
                <w:sz w:val="24"/>
                <w:szCs w:val="24"/>
              </w:rPr>
            </w:pPr>
            <w:r w:rsidRPr="00CE716E">
              <w:rPr>
                <w:rFonts w:eastAsiaTheme="majorEastAsia" w:cs="Arial"/>
                <w:sz w:val="24"/>
                <w:szCs w:val="24"/>
              </w:rPr>
              <w:t>1000</w:t>
            </w:r>
            <w:r>
              <w:rPr>
                <w:rFonts w:eastAsiaTheme="majorEastAsia" w:cs="Arial"/>
                <w:sz w:val="24"/>
                <w:szCs w:val="24"/>
              </w:rPr>
              <w:t xml:space="preserve"> </w:t>
            </w:r>
            <w:proofErr w:type="spellStart"/>
            <w:r>
              <w:rPr>
                <w:rFonts w:eastAsiaTheme="majorEastAsia" w:cs="Arial"/>
                <w:sz w:val="24"/>
                <w:szCs w:val="24"/>
              </w:rPr>
              <w:t>cx</w:t>
            </w:r>
            <w:proofErr w:type="spellEnd"/>
          </w:p>
        </w:tc>
        <w:tc>
          <w:tcPr>
            <w:tcW w:w="1559" w:type="dxa"/>
            <w:tcBorders>
              <w:top w:val="single" w:sz="6" w:space="0" w:color="auto"/>
              <w:left w:val="single" w:sz="6" w:space="0" w:color="auto"/>
              <w:bottom w:val="single" w:sz="6" w:space="0" w:color="auto"/>
              <w:right w:val="single" w:sz="6" w:space="0" w:color="auto"/>
            </w:tcBorders>
          </w:tcPr>
          <w:p w:rsidR="00CE716E" w:rsidRDefault="00CE716E" w:rsidP="00CE716E">
            <w:pPr>
              <w:spacing w:line="256" w:lineRule="auto"/>
              <w:jc w:val="both"/>
              <w:textAlignment w:val="baseline"/>
              <w:rPr>
                <w:rFonts w:cs="Arial"/>
                <w:color w:val="000000" w:themeColor="text1"/>
                <w:szCs w:val="22"/>
                <w:lang w:eastAsia="pt-BR"/>
              </w:rPr>
            </w:pPr>
          </w:p>
        </w:tc>
      </w:tr>
    </w:tbl>
    <w:p w:rsidR="00CE716E" w:rsidRDefault="00CE716E" w:rsidP="00CE716E">
      <w:pPr>
        <w:spacing w:line="360" w:lineRule="auto"/>
        <w:jc w:val="both"/>
        <w:rPr>
          <w:rFonts w:cs="Arial"/>
          <w:sz w:val="24"/>
          <w:szCs w:val="24"/>
        </w:rPr>
      </w:pPr>
    </w:p>
    <w:p w:rsidR="00CE716E" w:rsidRDefault="00CE716E" w:rsidP="00CE716E">
      <w:pPr>
        <w:pStyle w:val="Recuodecorpodetexto"/>
        <w:spacing w:before="0"/>
        <w:ind w:firstLine="0"/>
        <w:rPr>
          <w:rFonts w:cs="Arial"/>
          <w:sz w:val="24"/>
          <w:szCs w:val="24"/>
        </w:rPr>
      </w:pPr>
    </w:p>
    <w:p w:rsidR="00CE716E" w:rsidRDefault="00CE716E" w:rsidP="00CE716E">
      <w:pPr>
        <w:spacing w:line="360" w:lineRule="auto"/>
        <w:jc w:val="both"/>
        <w:rPr>
          <w:rFonts w:cs="Arial"/>
          <w:sz w:val="24"/>
          <w:szCs w:val="24"/>
        </w:rPr>
      </w:pPr>
      <w:r>
        <w:rPr>
          <w:rFonts w:cs="Arial"/>
          <w:sz w:val="24"/>
          <w:szCs w:val="24"/>
        </w:rPr>
        <w:t xml:space="preserve">1.2 - A entrega dos </w:t>
      </w:r>
      <w:r w:rsidR="008061A6">
        <w:rPr>
          <w:rFonts w:cs="Arial"/>
          <w:sz w:val="24"/>
          <w:szCs w:val="24"/>
        </w:rPr>
        <w:t>medicamentos</w:t>
      </w:r>
      <w:r>
        <w:rPr>
          <w:rFonts w:cs="Arial"/>
          <w:sz w:val="24"/>
          <w:szCs w:val="24"/>
        </w:rPr>
        <w:t xml:space="preserve"> deverão ser feitas no seguinte endereço: Avenida Prefeito José Nunes e Abreu, nº 6.000, centro, Santo Antônio das Missões-RS, em até 15 (quinze) dias úteis da ordem de fornecimento, em horário de expediente, devendo comunicar-se previamente com o fiscal da ata de registro de preços e/ou contrato, para que esse acompanhe a entrega.</w:t>
      </w:r>
    </w:p>
    <w:p w:rsidR="008061A6" w:rsidRDefault="008061A6" w:rsidP="00CE716E">
      <w:pPr>
        <w:spacing w:line="360" w:lineRule="auto"/>
        <w:jc w:val="both"/>
        <w:rPr>
          <w:rFonts w:cs="Arial"/>
          <w:sz w:val="24"/>
          <w:szCs w:val="24"/>
        </w:rPr>
      </w:pPr>
    </w:p>
    <w:p w:rsidR="008061A6" w:rsidRPr="008061A6" w:rsidRDefault="008061A6" w:rsidP="008061A6">
      <w:pPr>
        <w:jc w:val="both"/>
        <w:rPr>
          <w:rFonts w:cs="Arial"/>
          <w:b/>
          <w:i/>
          <w:sz w:val="24"/>
          <w:szCs w:val="24"/>
          <w:u w:val="single"/>
        </w:rPr>
      </w:pPr>
      <w:proofErr w:type="gramStart"/>
      <w:r>
        <w:rPr>
          <w:rFonts w:cs="Arial"/>
          <w:sz w:val="24"/>
          <w:szCs w:val="24"/>
        </w:rPr>
        <w:t>1.3 Os</w:t>
      </w:r>
      <w:proofErr w:type="gramEnd"/>
      <w:r>
        <w:rPr>
          <w:rFonts w:cs="Arial"/>
          <w:sz w:val="24"/>
          <w:szCs w:val="24"/>
        </w:rPr>
        <w:t xml:space="preserve"> medicamentos deverão ser entregues conforme especificações do Edital e seus anexos, em perfeito estado de conservação e com </w:t>
      </w:r>
      <w:r w:rsidRPr="008061A6">
        <w:rPr>
          <w:rFonts w:cs="Arial"/>
          <w:b/>
          <w:i/>
          <w:sz w:val="24"/>
          <w:szCs w:val="24"/>
          <w:u w:val="single"/>
        </w:rPr>
        <w:t>validade mínima de 12 meses.</w:t>
      </w:r>
    </w:p>
    <w:p w:rsidR="00CE716E" w:rsidRDefault="00CE716E" w:rsidP="00CE716E">
      <w:pPr>
        <w:spacing w:line="360" w:lineRule="auto"/>
        <w:jc w:val="both"/>
        <w:rPr>
          <w:rFonts w:cs="Arial"/>
          <w:sz w:val="24"/>
          <w:szCs w:val="24"/>
        </w:rPr>
      </w:pPr>
    </w:p>
    <w:p w:rsidR="00CE716E" w:rsidRDefault="00CE716E" w:rsidP="00CE716E">
      <w:pPr>
        <w:spacing w:line="360" w:lineRule="auto"/>
        <w:jc w:val="both"/>
        <w:rPr>
          <w:rFonts w:cs="Arial"/>
          <w:b/>
          <w:sz w:val="24"/>
          <w:szCs w:val="24"/>
        </w:rPr>
      </w:pPr>
      <w:r>
        <w:rPr>
          <w:rFonts w:cs="Arial"/>
          <w:b/>
          <w:sz w:val="24"/>
          <w:szCs w:val="24"/>
        </w:rPr>
        <w:t>2. CREDENCIAMENTO E PARTICIPAÇÃO DO CERTAME</w:t>
      </w:r>
    </w:p>
    <w:p w:rsidR="00CE716E" w:rsidRDefault="00CE716E" w:rsidP="00CE716E">
      <w:pPr>
        <w:spacing w:line="360" w:lineRule="auto"/>
        <w:jc w:val="both"/>
        <w:rPr>
          <w:rFonts w:cs="Arial"/>
          <w:bCs/>
          <w:sz w:val="24"/>
          <w:szCs w:val="24"/>
        </w:rPr>
      </w:pPr>
      <w:r>
        <w:rPr>
          <w:rFonts w:cs="Arial"/>
          <w:b/>
          <w:sz w:val="24"/>
          <w:szCs w:val="24"/>
        </w:rPr>
        <w:t xml:space="preserve">2.1. </w:t>
      </w:r>
      <w:r>
        <w:rPr>
          <w:rFonts w:cs="Arial"/>
          <w:bCs/>
          <w:sz w:val="24"/>
          <w:szCs w:val="24"/>
        </w:rPr>
        <w:t>Para participar do certame, o licitante deve providenciar o seu credenciamento, com atribuição de chave e senha, diretamente junto ao provedor do sistema, onde deverá informar-se a respeito do seu funcionamento, regulamento e instruções para a sua correta utilização.</w:t>
      </w:r>
    </w:p>
    <w:p w:rsidR="00CE716E" w:rsidRDefault="00CE716E" w:rsidP="00CE716E">
      <w:pPr>
        <w:spacing w:line="360" w:lineRule="auto"/>
        <w:jc w:val="both"/>
        <w:rPr>
          <w:rFonts w:cs="Arial"/>
          <w:bCs/>
          <w:sz w:val="24"/>
          <w:szCs w:val="24"/>
        </w:rPr>
      </w:pPr>
      <w:r>
        <w:rPr>
          <w:rFonts w:cs="Arial"/>
          <w:b/>
          <w:sz w:val="24"/>
          <w:szCs w:val="24"/>
        </w:rPr>
        <w:t xml:space="preserve">2.2. </w:t>
      </w:r>
      <w:r>
        <w:rPr>
          <w:rFonts w:cs="Arial"/>
          <w:bCs/>
          <w:sz w:val="24"/>
          <w:szCs w:val="24"/>
        </w:rPr>
        <w:t>As instruções para o credenciamento podem ser acessadas no seguinte sítio eletrônico ou solicitadas por meio do seguinte endereço de e-mail: compraspmsamissoes@hotmail.com.</w:t>
      </w:r>
    </w:p>
    <w:p w:rsidR="00CE716E" w:rsidRDefault="00CE716E" w:rsidP="00CE716E">
      <w:pPr>
        <w:spacing w:line="360" w:lineRule="auto"/>
        <w:jc w:val="both"/>
        <w:rPr>
          <w:rFonts w:cs="Arial"/>
          <w:bCs/>
          <w:sz w:val="24"/>
          <w:szCs w:val="24"/>
        </w:rPr>
      </w:pPr>
      <w:r>
        <w:rPr>
          <w:rFonts w:cs="Arial"/>
          <w:b/>
          <w:sz w:val="24"/>
          <w:szCs w:val="24"/>
        </w:rPr>
        <w:t xml:space="preserve">2.3. </w:t>
      </w:r>
      <w:r>
        <w:rPr>
          <w:rFonts w:cs="Arial"/>
          <w:bCs/>
          <w:sz w:val="24"/>
          <w:szCs w:val="24"/>
        </w:rPr>
        <w:t>É de responsabilidade do licitante, além de credenciar-se previamente no sistema eletrônico utilizado no certame e de cumprir as regras do presente edital:</w:t>
      </w:r>
    </w:p>
    <w:p w:rsidR="00CE716E" w:rsidRDefault="00CE716E" w:rsidP="00CE716E">
      <w:pPr>
        <w:spacing w:line="360" w:lineRule="auto"/>
        <w:jc w:val="both"/>
        <w:rPr>
          <w:rFonts w:cs="Arial"/>
          <w:sz w:val="24"/>
          <w:szCs w:val="24"/>
        </w:rPr>
      </w:pPr>
      <w:r>
        <w:rPr>
          <w:rFonts w:cs="Arial"/>
          <w:b/>
          <w:bCs/>
          <w:sz w:val="24"/>
          <w:szCs w:val="24"/>
        </w:rPr>
        <w:t>2.3.1.</w:t>
      </w:r>
      <w:r>
        <w:rPr>
          <w:rFonts w:cs="Arial"/>
          <w:sz w:val="24"/>
          <w:szCs w:val="24"/>
        </w:rPr>
        <w:t xml:space="preserve"> Responsabilizar-se formalmente pelas transações efetuadas em seu nome, assumir como firmes e verdadeiras suas propostas e seus lances, inclusive os atos praticados diretamente ou por seu representante, excluída a responsabilidade do provedor do sistema ou do órgão ou entidade promotora da licitação por eventuais danos decorrentes de uso indevido da senha, ainda que por terceiros.</w:t>
      </w:r>
    </w:p>
    <w:p w:rsidR="00CE716E" w:rsidRDefault="00CE716E" w:rsidP="00CE716E">
      <w:pPr>
        <w:spacing w:line="360" w:lineRule="auto"/>
        <w:jc w:val="both"/>
        <w:rPr>
          <w:rFonts w:cs="Arial"/>
          <w:sz w:val="24"/>
          <w:szCs w:val="24"/>
        </w:rPr>
      </w:pPr>
      <w:r>
        <w:rPr>
          <w:rFonts w:cs="Arial"/>
          <w:b/>
          <w:bCs/>
          <w:sz w:val="24"/>
          <w:szCs w:val="24"/>
        </w:rPr>
        <w:t>2.3.2.</w:t>
      </w:r>
      <w:r>
        <w:rPr>
          <w:rFonts w:cs="Arial"/>
          <w:sz w:val="24"/>
          <w:szCs w:val="24"/>
        </w:rPr>
        <w:t xml:space="preserve"> Acompanhar as operações no sistema eletrônico durante o processo licitatório e responsabilizar-se pelo ônus decorrente da perda de negócios diante da inobservância de mensagens emitidas pelo sistema ou de sua desconexão.</w:t>
      </w:r>
    </w:p>
    <w:p w:rsidR="00CE716E" w:rsidRDefault="00CE716E" w:rsidP="00CE716E">
      <w:pPr>
        <w:spacing w:line="360" w:lineRule="auto"/>
        <w:jc w:val="both"/>
        <w:rPr>
          <w:rFonts w:cs="Arial"/>
          <w:sz w:val="24"/>
          <w:szCs w:val="24"/>
        </w:rPr>
      </w:pPr>
      <w:r>
        <w:rPr>
          <w:rFonts w:cs="Arial"/>
          <w:b/>
          <w:bCs/>
          <w:sz w:val="24"/>
          <w:szCs w:val="24"/>
        </w:rPr>
        <w:lastRenderedPageBreak/>
        <w:t>2.3.3.</w:t>
      </w:r>
      <w:r>
        <w:rPr>
          <w:rFonts w:cs="Arial"/>
          <w:sz w:val="24"/>
          <w:szCs w:val="24"/>
        </w:rPr>
        <w:t xml:space="preserve"> Comunicar imediatamente ao provedor do sistema qualquer acontecimento que possa comprometer o sigilo ou a inviabilidade do uso da senha, para imediato bloqueio de acesso.</w:t>
      </w:r>
    </w:p>
    <w:p w:rsidR="00CE716E" w:rsidRDefault="00CE716E" w:rsidP="00CE716E">
      <w:pPr>
        <w:spacing w:line="360" w:lineRule="auto"/>
        <w:jc w:val="both"/>
        <w:rPr>
          <w:rFonts w:cs="Arial"/>
          <w:sz w:val="24"/>
          <w:szCs w:val="24"/>
        </w:rPr>
      </w:pPr>
      <w:r>
        <w:rPr>
          <w:rFonts w:cs="Arial"/>
          <w:b/>
          <w:bCs/>
          <w:sz w:val="24"/>
          <w:szCs w:val="24"/>
        </w:rPr>
        <w:t>2.3.4.</w:t>
      </w:r>
      <w:r>
        <w:rPr>
          <w:rFonts w:cs="Arial"/>
          <w:sz w:val="24"/>
          <w:szCs w:val="24"/>
        </w:rPr>
        <w:t xml:space="preserve"> Utilizar a chave de identificação e a senha de acesso para participar do pregão na forma eletrônica.</w:t>
      </w:r>
    </w:p>
    <w:p w:rsidR="00CE716E" w:rsidRDefault="00CE716E" w:rsidP="00CE716E">
      <w:pPr>
        <w:spacing w:line="360" w:lineRule="auto"/>
        <w:jc w:val="both"/>
        <w:rPr>
          <w:rFonts w:cs="Arial"/>
          <w:sz w:val="24"/>
          <w:szCs w:val="24"/>
        </w:rPr>
      </w:pPr>
      <w:r>
        <w:rPr>
          <w:rFonts w:cs="Arial"/>
          <w:b/>
          <w:bCs/>
          <w:sz w:val="24"/>
          <w:szCs w:val="24"/>
        </w:rPr>
        <w:t>2.3.5.</w:t>
      </w:r>
      <w:r>
        <w:rPr>
          <w:rFonts w:cs="Arial"/>
          <w:sz w:val="24"/>
          <w:szCs w:val="24"/>
        </w:rPr>
        <w:t xml:space="preserve"> Solicitar o cancelamento da chave de identificação ou da senha de acesso por interesse próprio.</w:t>
      </w:r>
    </w:p>
    <w:p w:rsidR="00CE716E" w:rsidRDefault="00CE716E" w:rsidP="00CE716E">
      <w:pPr>
        <w:spacing w:line="360" w:lineRule="auto"/>
        <w:jc w:val="both"/>
        <w:rPr>
          <w:rFonts w:cs="Arial"/>
          <w:sz w:val="24"/>
          <w:szCs w:val="24"/>
        </w:rPr>
      </w:pPr>
    </w:p>
    <w:p w:rsidR="00CE716E" w:rsidRDefault="00CE716E" w:rsidP="00CE716E">
      <w:pPr>
        <w:spacing w:line="360" w:lineRule="auto"/>
        <w:jc w:val="both"/>
        <w:rPr>
          <w:rFonts w:cs="Arial"/>
          <w:b/>
          <w:sz w:val="24"/>
          <w:szCs w:val="24"/>
        </w:rPr>
      </w:pPr>
      <w:r>
        <w:rPr>
          <w:rFonts w:cs="Arial"/>
          <w:b/>
          <w:sz w:val="24"/>
          <w:szCs w:val="24"/>
        </w:rPr>
        <w:t>3. ENVIO DAS PROPOSTAS</w:t>
      </w:r>
    </w:p>
    <w:p w:rsidR="00CE716E" w:rsidRDefault="00CE716E" w:rsidP="00CE716E">
      <w:pPr>
        <w:spacing w:line="360" w:lineRule="auto"/>
        <w:jc w:val="both"/>
        <w:rPr>
          <w:rFonts w:cs="Arial"/>
          <w:bCs/>
          <w:sz w:val="24"/>
          <w:szCs w:val="24"/>
        </w:rPr>
      </w:pPr>
      <w:r>
        <w:rPr>
          <w:rFonts w:cs="Arial"/>
          <w:b/>
          <w:sz w:val="24"/>
          <w:szCs w:val="24"/>
        </w:rPr>
        <w:t xml:space="preserve">3.1. </w:t>
      </w:r>
      <w:r>
        <w:rPr>
          <w:rFonts w:cs="Arial"/>
          <w:bCs/>
          <w:sz w:val="24"/>
          <w:szCs w:val="24"/>
        </w:rPr>
        <w:t>As propostas deverão ser enviadas exclusivamente por meio do sistema eletrônico, até a data e horário estabelecidos no preâmbulo deste edital, observando o item 4 deste Edital.</w:t>
      </w:r>
    </w:p>
    <w:p w:rsidR="00CE716E" w:rsidRDefault="00CE716E" w:rsidP="00CE716E">
      <w:pPr>
        <w:spacing w:line="360" w:lineRule="auto"/>
        <w:jc w:val="both"/>
        <w:rPr>
          <w:rFonts w:cs="Arial"/>
          <w:bCs/>
          <w:sz w:val="24"/>
          <w:szCs w:val="24"/>
        </w:rPr>
      </w:pPr>
      <w:r>
        <w:rPr>
          <w:rFonts w:cs="Arial"/>
          <w:b/>
          <w:sz w:val="24"/>
          <w:szCs w:val="24"/>
        </w:rPr>
        <w:t xml:space="preserve">3.2. </w:t>
      </w:r>
      <w:r>
        <w:rPr>
          <w:rFonts w:cs="Arial"/>
          <w:bCs/>
          <w:sz w:val="24"/>
          <w:szCs w:val="24"/>
        </w:rPr>
        <w:t>O licitante deverá declarar, em campo próprio do sistema, sendo que a falsidade da declaração sujeitará o licitante às sanções legais:</w:t>
      </w:r>
    </w:p>
    <w:p w:rsidR="00CE716E" w:rsidRDefault="00CE716E" w:rsidP="00CE716E">
      <w:pPr>
        <w:spacing w:line="360" w:lineRule="auto"/>
        <w:jc w:val="both"/>
        <w:rPr>
          <w:rFonts w:cs="Arial"/>
          <w:bCs/>
          <w:sz w:val="24"/>
          <w:szCs w:val="24"/>
        </w:rPr>
      </w:pPr>
      <w:r>
        <w:rPr>
          <w:rFonts w:cs="Arial"/>
          <w:b/>
          <w:sz w:val="24"/>
          <w:szCs w:val="24"/>
        </w:rPr>
        <w:t>3.2.1.</w:t>
      </w:r>
      <w:r>
        <w:rPr>
          <w:rFonts w:cs="Arial"/>
          <w:bCs/>
          <w:sz w:val="24"/>
          <w:szCs w:val="24"/>
        </w:rPr>
        <w:t xml:space="preserve"> Que </w:t>
      </w:r>
      <w:r>
        <w:rPr>
          <w:rFonts w:cs="Arial"/>
          <w:sz w:val="24"/>
          <w:szCs w:val="24"/>
        </w:rPr>
        <w:t>tomou conhecimento de todas as informações e das condições locais para o cumprimento das obrigações objeto da licitação</w:t>
      </w:r>
      <w:r>
        <w:rPr>
          <w:rStyle w:val="Refdenotaderodap"/>
          <w:rFonts w:eastAsiaTheme="majorEastAsia" w:cs="Arial"/>
          <w:sz w:val="24"/>
          <w:szCs w:val="24"/>
        </w:rPr>
        <w:footnoteReference w:id="1"/>
      </w:r>
      <w:r>
        <w:rPr>
          <w:rFonts w:cs="Arial"/>
          <w:bCs/>
          <w:sz w:val="24"/>
          <w:szCs w:val="24"/>
        </w:rPr>
        <w:t>.</w:t>
      </w:r>
    </w:p>
    <w:p w:rsidR="00CE716E" w:rsidRDefault="00CE716E" w:rsidP="00CE716E">
      <w:pPr>
        <w:pStyle w:val="Default"/>
        <w:spacing w:line="360" w:lineRule="auto"/>
        <w:jc w:val="both"/>
        <w:rPr>
          <w:b/>
          <w:bCs/>
          <w:color w:val="auto"/>
        </w:rPr>
      </w:pPr>
      <w:r>
        <w:rPr>
          <w:b/>
          <w:color w:val="auto"/>
        </w:rPr>
        <w:t>3.2.2.</w:t>
      </w:r>
      <w:r>
        <w:rPr>
          <w:bCs/>
          <w:color w:val="auto"/>
        </w:rPr>
        <w:t xml:space="preserve"> </w:t>
      </w:r>
      <w:r>
        <w:rPr>
          <w:color w:val="auto"/>
        </w:rPr>
        <w:t>Que cumpre as exigências de reserva de cargos para pessoa com deficiência e para reabilitado da Previdência Social, previstas em lei e em outras normas específicas</w:t>
      </w:r>
      <w:r>
        <w:rPr>
          <w:rStyle w:val="Refdenotaderodap"/>
          <w:color w:val="auto"/>
        </w:rPr>
        <w:footnoteReference w:id="2"/>
      </w:r>
      <w:r>
        <w:rPr>
          <w:color w:val="auto"/>
        </w:rPr>
        <w:t>.</w:t>
      </w:r>
    </w:p>
    <w:p w:rsidR="00CE716E" w:rsidRDefault="00CE716E" w:rsidP="00CE716E">
      <w:pPr>
        <w:pStyle w:val="Default"/>
        <w:spacing w:line="360" w:lineRule="auto"/>
        <w:jc w:val="both"/>
        <w:rPr>
          <w:color w:val="auto"/>
        </w:rPr>
      </w:pPr>
      <w:r>
        <w:rPr>
          <w:b/>
          <w:bCs/>
          <w:color w:val="auto"/>
        </w:rPr>
        <w:t>3.2.3.</w:t>
      </w:r>
      <w:r>
        <w:rPr>
          <w:color w:val="auto"/>
        </w:rPr>
        <w:t xml:space="preserve"> Que cumpre os requisitos legais para a qualificação como microempresa ou empresa de pequeno porte, microempreendedor individual, produtor rural pessoa física, agricultor familiar ou sociedade cooperativa de consumo, se for o caso, estando apto a usufruir do tratamento favorecido estabelecido nos </w:t>
      </w:r>
      <w:proofErr w:type="spellStart"/>
      <w:r>
        <w:rPr>
          <w:color w:val="auto"/>
        </w:rPr>
        <w:t>arts</w:t>
      </w:r>
      <w:proofErr w:type="spellEnd"/>
      <w:r>
        <w:rPr>
          <w:color w:val="auto"/>
        </w:rPr>
        <w:t xml:space="preserve">. 42 ao 49 da Lei Complementar nº 123, de 14 de dezembro de 2006. </w:t>
      </w:r>
    </w:p>
    <w:p w:rsidR="00CE716E" w:rsidRDefault="00CE716E" w:rsidP="00CE716E">
      <w:pPr>
        <w:pStyle w:val="Default"/>
        <w:spacing w:line="360" w:lineRule="auto"/>
        <w:jc w:val="both"/>
        <w:rPr>
          <w:color w:val="auto"/>
        </w:rPr>
      </w:pPr>
      <w:r>
        <w:rPr>
          <w:b/>
          <w:bCs/>
          <w:color w:val="auto"/>
        </w:rPr>
        <w:t>3.2.4.</w:t>
      </w:r>
      <w:r>
        <w:rPr>
          <w:color w:val="auto"/>
        </w:rPr>
        <w:t xml:space="preserve"> Que no ano-calendário de realização da licitação, a microempresa ou a empresa de pequeno porte ainda não celebrou a ata de registro de preços e/ou contratos com a Administração Pública, cujos valores somados extrapolem a </w:t>
      </w:r>
      <w:r>
        <w:rPr>
          <w:color w:val="auto"/>
        </w:rPr>
        <w:lastRenderedPageBreak/>
        <w:t>receita bruta máxima admitida para fins de enquadramento como empresa de pequeno porte.</w:t>
      </w:r>
    </w:p>
    <w:p w:rsidR="00CE716E" w:rsidRDefault="00CE716E" w:rsidP="00CE716E">
      <w:pPr>
        <w:pStyle w:val="Default"/>
        <w:spacing w:line="360" w:lineRule="auto"/>
        <w:jc w:val="both"/>
        <w:rPr>
          <w:color w:val="auto"/>
        </w:rPr>
      </w:pPr>
      <w:r>
        <w:rPr>
          <w:b/>
          <w:bCs/>
          <w:color w:val="auto"/>
        </w:rPr>
        <w:t>3.2.5.</w:t>
      </w:r>
      <w:r>
        <w:rPr>
          <w:color w:val="auto"/>
        </w:rPr>
        <w:t xml:space="preserve"> Que suas propostas econômicas compreendem a integralidade dos custos para atendimento dos direitos trabalhistas assegurados na Constituição Federal, nas leis trabalhistas, nas normas </w:t>
      </w:r>
      <w:proofErr w:type="spellStart"/>
      <w:r>
        <w:rPr>
          <w:color w:val="auto"/>
        </w:rPr>
        <w:t>infralegais</w:t>
      </w:r>
      <w:proofErr w:type="spellEnd"/>
      <w:r>
        <w:rPr>
          <w:color w:val="auto"/>
        </w:rPr>
        <w:t>, nas convenções coletivas de trabalho e nos termos de ajustamento de conduta vigentes na data de entrega das propostas</w:t>
      </w:r>
      <w:r>
        <w:rPr>
          <w:rStyle w:val="Refdenotaderodap"/>
          <w:color w:val="auto"/>
        </w:rPr>
        <w:footnoteReference w:id="3"/>
      </w:r>
      <w:r>
        <w:rPr>
          <w:color w:val="auto"/>
        </w:rPr>
        <w:t>.</w:t>
      </w:r>
    </w:p>
    <w:p w:rsidR="00CE716E" w:rsidRDefault="00CE716E" w:rsidP="00CE716E">
      <w:pPr>
        <w:pStyle w:val="Default"/>
        <w:spacing w:line="360" w:lineRule="auto"/>
        <w:jc w:val="both"/>
        <w:rPr>
          <w:b/>
          <w:bCs/>
          <w:color w:val="auto"/>
        </w:rPr>
      </w:pPr>
      <w:r>
        <w:rPr>
          <w:b/>
          <w:bCs/>
          <w:color w:val="auto"/>
        </w:rPr>
        <w:t xml:space="preserve">3.2.6. </w:t>
      </w:r>
      <w:r>
        <w:rPr>
          <w:color w:val="auto"/>
        </w:rPr>
        <w:t>Que atende ao disposto no artigo 7º, inciso XXXIII, da Constituição da República.</w:t>
      </w:r>
    </w:p>
    <w:p w:rsidR="00CE716E" w:rsidRDefault="00CE716E" w:rsidP="00CE716E">
      <w:pPr>
        <w:spacing w:line="360" w:lineRule="auto"/>
        <w:jc w:val="both"/>
        <w:rPr>
          <w:rFonts w:cs="Arial"/>
          <w:sz w:val="24"/>
          <w:szCs w:val="24"/>
        </w:rPr>
      </w:pPr>
      <w:r>
        <w:rPr>
          <w:rFonts w:cs="Arial"/>
          <w:b/>
          <w:sz w:val="24"/>
          <w:szCs w:val="24"/>
        </w:rPr>
        <w:t xml:space="preserve">3.3. </w:t>
      </w:r>
      <w:r>
        <w:rPr>
          <w:rFonts w:cs="Arial"/>
          <w:bCs/>
          <w:sz w:val="24"/>
          <w:szCs w:val="24"/>
        </w:rPr>
        <w:t xml:space="preserve">Outras eventuais </w:t>
      </w:r>
      <w:r>
        <w:rPr>
          <w:rFonts w:cs="Arial"/>
          <w:sz w:val="24"/>
          <w:szCs w:val="24"/>
        </w:rPr>
        <w:t>declarações complementares à proposta e à habilitação, que venham a ser solicitados pelo sistema do pregão eletrônico e/ou pregoeiro, deverão ser realizadas via sistema ou encaminhadas no prazo máximo de 03 dias úteis.</w:t>
      </w:r>
    </w:p>
    <w:p w:rsidR="00CE716E" w:rsidRDefault="00CE716E" w:rsidP="00CE716E">
      <w:pPr>
        <w:spacing w:line="360" w:lineRule="auto"/>
        <w:jc w:val="both"/>
        <w:rPr>
          <w:rFonts w:cs="Arial"/>
          <w:b/>
          <w:sz w:val="24"/>
          <w:szCs w:val="24"/>
        </w:rPr>
      </w:pPr>
    </w:p>
    <w:p w:rsidR="00CE716E" w:rsidRDefault="00CE716E" w:rsidP="00CE716E">
      <w:pPr>
        <w:spacing w:line="360" w:lineRule="auto"/>
        <w:jc w:val="both"/>
        <w:rPr>
          <w:rFonts w:cs="Arial"/>
          <w:b/>
          <w:sz w:val="24"/>
          <w:szCs w:val="24"/>
        </w:rPr>
      </w:pPr>
    </w:p>
    <w:p w:rsidR="00CE716E" w:rsidRDefault="00CE716E" w:rsidP="00CE716E">
      <w:pPr>
        <w:spacing w:line="360" w:lineRule="auto"/>
        <w:jc w:val="both"/>
        <w:rPr>
          <w:rFonts w:cs="Arial"/>
          <w:b/>
          <w:sz w:val="24"/>
          <w:szCs w:val="24"/>
        </w:rPr>
      </w:pPr>
      <w:r>
        <w:rPr>
          <w:rFonts w:cs="Arial"/>
          <w:b/>
          <w:sz w:val="24"/>
          <w:szCs w:val="24"/>
        </w:rPr>
        <w:t>4. PROPOSTA</w:t>
      </w:r>
    </w:p>
    <w:p w:rsidR="00CE716E" w:rsidRDefault="00CE716E" w:rsidP="00CE716E">
      <w:pPr>
        <w:spacing w:line="360" w:lineRule="auto"/>
        <w:jc w:val="both"/>
        <w:rPr>
          <w:rFonts w:cs="Arial"/>
          <w:bCs/>
          <w:sz w:val="24"/>
          <w:szCs w:val="24"/>
        </w:rPr>
      </w:pPr>
      <w:r>
        <w:rPr>
          <w:rFonts w:cs="Arial"/>
          <w:b/>
          <w:sz w:val="24"/>
          <w:szCs w:val="24"/>
        </w:rPr>
        <w:t xml:space="preserve">4.1. </w:t>
      </w:r>
      <w:r>
        <w:rPr>
          <w:rFonts w:cs="Arial"/>
          <w:bCs/>
          <w:sz w:val="24"/>
          <w:szCs w:val="24"/>
        </w:rPr>
        <w:t>O prazo de validade da proposta será de 60 (sessenta) dias úteis, a contar da data de abertura da sessão do pregão, estabelecida no preâmbulo desse edital.</w:t>
      </w:r>
    </w:p>
    <w:p w:rsidR="00CE716E" w:rsidRDefault="00CE716E" w:rsidP="00CE716E">
      <w:pPr>
        <w:tabs>
          <w:tab w:val="left" w:pos="1134"/>
        </w:tabs>
        <w:spacing w:line="360" w:lineRule="auto"/>
        <w:jc w:val="both"/>
        <w:rPr>
          <w:rFonts w:cs="Arial"/>
          <w:bCs/>
          <w:sz w:val="24"/>
          <w:szCs w:val="24"/>
        </w:rPr>
      </w:pPr>
      <w:r>
        <w:rPr>
          <w:rFonts w:cs="Arial"/>
          <w:b/>
          <w:sz w:val="24"/>
          <w:szCs w:val="24"/>
        </w:rPr>
        <w:t xml:space="preserve">4.2. </w:t>
      </w:r>
      <w:r>
        <w:rPr>
          <w:rFonts w:cs="Arial"/>
          <w:bCs/>
          <w:sz w:val="24"/>
          <w:szCs w:val="24"/>
        </w:rPr>
        <w:t xml:space="preserve">Os licitantes deverão registrar suas propostas no sistema eletrônico, observando as diretrizes do Anexo II – Modelo de Proposta Comercial, com a indicação </w:t>
      </w:r>
      <w:r>
        <w:rPr>
          <w:rFonts w:cs="Arial"/>
          <w:sz w:val="24"/>
          <w:szCs w:val="24"/>
        </w:rPr>
        <w:t xml:space="preserve">completa do produto ofertado, incluindo marca, modelo, referências e demais dados técnicos, bem como com a indicação </w:t>
      </w:r>
      <w:r>
        <w:rPr>
          <w:rFonts w:cs="Arial"/>
          <w:bCs/>
          <w:sz w:val="24"/>
          <w:szCs w:val="24"/>
        </w:rPr>
        <w:t>dos valores unitários e totais dos itens, englobando a tributação, os custos de entrega e quaisquer outras despesas incidentes para o cumprimento das obrigações assumidas.</w:t>
      </w:r>
    </w:p>
    <w:p w:rsidR="00CE716E" w:rsidRDefault="00CE716E" w:rsidP="00CE716E">
      <w:pPr>
        <w:spacing w:line="360" w:lineRule="auto"/>
        <w:jc w:val="both"/>
        <w:rPr>
          <w:rFonts w:cs="Arial"/>
          <w:bCs/>
          <w:sz w:val="24"/>
          <w:szCs w:val="24"/>
        </w:rPr>
      </w:pPr>
      <w:r>
        <w:rPr>
          <w:rFonts w:cs="Arial"/>
          <w:b/>
          <w:sz w:val="24"/>
          <w:szCs w:val="24"/>
        </w:rPr>
        <w:t xml:space="preserve">4.3. </w:t>
      </w:r>
      <w:r>
        <w:rPr>
          <w:rFonts w:cs="Arial"/>
          <w:bCs/>
          <w:sz w:val="24"/>
          <w:szCs w:val="24"/>
        </w:rPr>
        <w:t xml:space="preserve">Qualquer elemento que possa identificar o licitante importará na desclassificação da proposta, razão pela qual os licitantes não poderão </w:t>
      </w:r>
      <w:r>
        <w:rPr>
          <w:rFonts w:cs="Arial"/>
          <w:bCs/>
          <w:sz w:val="24"/>
          <w:szCs w:val="24"/>
        </w:rPr>
        <w:lastRenderedPageBreak/>
        <w:t>encaminhar documentos com timbre ou logomarca da empresa, assinatura ou carimbo de sócios ou outra informação que possa levar a sua identificação, até que se encerre a etapa de lances.</w:t>
      </w:r>
    </w:p>
    <w:p w:rsidR="00CE716E" w:rsidRDefault="00CE716E" w:rsidP="00CE716E">
      <w:pPr>
        <w:spacing w:line="360" w:lineRule="auto"/>
        <w:jc w:val="both"/>
        <w:rPr>
          <w:rFonts w:cs="Arial"/>
          <w:bCs/>
          <w:sz w:val="24"/>
          <w:szCs w:val="24"/>
        </w:rPr>
      </w:pPr>
      <w:r>
        <w:rPr>
          <w:rFonts w:cs="Arial"/>
          <w:b/>
          <w:sz w:val="24"/>
          <w:szCs w:val="24"/>
        </w:rPr>
        <w:t>OBS.:</w:t>
      </w:r>
      <w:r>
        <w:rPr>
          <w:rFonts w:cs="Arial"/>
          <w:bCs/>
          <w:sz w:val="24"/>
          <w:szCs w:val="24"/>
        </w:rPr>
        <w:t xml:space="preserve"> Em se tratando de licitação que envolva o fornecimento de bens, a Administração poderá, </w:t>
      </w:r>
      <w:r>
        <w:rPr>
          <w:rFonts w:cs="Arial"/>
          <w:bCs/>
          <w:sz w:val="24"/>
          <w:szCs w:val="24"/>
          <w:u w:val="single"/>
        </w:rPr>
        <w:t>excepcionalmente</w:t>
      </w:r>
      <w:r>
        <w:rPr>
          <w:rFonts w:cs="Arial"/>
          <w:bCs/>
          <w:sz w:val="24"/>
          <w:szCs w:val="24"/>
        </w:rPr>
        <w:t>, nos termos dos artigos 41, 42 e 43 da Lei nº 14.133/2021, indicar marcas ou modelos e/ou exigir amostra ou prova de conceito, mediante existente procedimento de padronização.</w:t>
      </w:r>
    </w:p>
    <w:p w:rsidR="00CE716E" w:rsidRDefault="00CE716E" w:rsidP="00CE716E">
      <w:pPr>
        <w:spacing w:line="360" w:lineRule="auto"/>
        <w:jc w:val="both"/>
        <w:rPr>
          <w:rFonts w:cs="Arial"/>
          <w:bCs/>
          <w:sz w:val="24"/>
          <w:szCs w:val="24"/>
        </w:rPr>
      </w:pPr>
    </w:p>
    <w:p w:rsidR="00CE716E" w:rsidRDefault="00CE716E" w:rsidP="00CE716E">
      <w:pPr>
        <w:spacing w:line="360" w:lineRule="auto"/>
        <w:jc w:val="both"/>
        <w:rPr>
          <w:rFonts w:cs="Arial"/>
          <w:b/>
          <w:sz w:val="24"/>
          <w:szCs w:val="24"/>
        </w:rPr>
      </w:pPr>
      <w:r>
        <w:rPr>
          <w:rFonts w:cs="Arial"/>
          <w:b/>
          <w:sz w:val="24"/>
          <w:szCs w:val="24"/>
        </w:rPr>
        <w:t>5. DOCUMENTOS DE HABILITAÇÃO</w:t>
      </w:r>
    </w:p>
    <w:p w:rsidR="00CE716E" w:rsidRDefault="00CE716E" w:rsidP="00CE716E">
      <w:pPr>
        <w:tabs>
          <w:tab w:val="left" w:pos="1134"/>
        </w:tabs>
        <w:spacing w:line="360" w:lineRule="auto"/>
        <w:jc w:val="both"/>
        <w:rPr>
          <w:rFonts w:cs="Arial"/>
          <w:sz w:val="24"/>
          <w:szCs w:val="24"/>
        </w:rPr>
      </w:pPr>
      <w:r>
        <w:rPr>
          <w:rFonts w:cs="Arial"/>
          <w:sz w:val="24"/>
          <w:szCs w:val="24"/>
        </w:rPr>
        <w:t xml:space="preserve">Para fins de habilitação neste pregão, a licitante vencedora deverá enviar os seguintes documentos, em até 03 </w:t>
      </w:r>
      <w:proofErr w:type="gramStart"/>
      <w:r>
        <w:rPr>
          <w:rFonts w:cs="Arial"/>
          <w:sz w:val="24"/>
          <w:szCs w:val="24"/>
        </w:rPr>
        <w:t>( três</w:t>
      </w:r>
      <w:proofErr w:type="gramEnd"/>
      <w:r>
        <w:rPr>
          <w:rFonts w:cs="Arial"/>
          <w:sz w:val="24"/>
          <w:szCs w:val="24"/>
        </w:rPr>
        <w:t xml:space="preserve"> ) dias, quando solicitado pelo pregoeiro:</w:t>
      </w:r>
    </w:p>
    <w:p w:rsidR="00CE716E" w:rsidRDefault="00CE716E" w:rsidP="00CE716E">
      <w:pPr>
        <w:tabs>
          <w:tab w:val="left" w:pos="1134"/>
        </w:tabs>
        <w:spacing w:line="360" w:lineRule="auto"/>
        <w:jc w:val="both"/>
        <w:rPr>
          <w:rFonts w:cs="Arial"/>
          <w:sz w:val="24"/>
          <w:szCs w:val="24"/>
        </w:rPr>
      </w:pPr>
    </w:p>
    <w:p w:rsidR="00CE716E" w:rsidRDefault="00CE716E" w:rsidP="00CE716E">
      <w:pPr>
        <w:tabs>
          <w:tab w:val="left" w:pos="1134"/>
        </w:tabs>
        <w:spacing w:line="360" w:lineRule="auto"/>
        <w:jc w:val="both"/>
        <w:rPr>
          <w:rFonts w:cs="Arial"/>
          <w:b/>
          <w:sz w:val="24"/>
          <w:szCs w:val="24"/>
        </w:rPr>
      </w:pPr>
      <w:r>
        <w:rPr>
          <w:rFonts w:cs="Arial"/>
          <w:b/>
          <w:sz w:val="24"/>
          <w:szCs w:val="24"/>
        </w:rPr>
        <w:t>5.1. HABILITAÇÃO JURÍDICA</w:t>
      </w:r>
    </w:p>
    <w:p w:rsidR="00CE716E" w:rsidRDefault="00CE716E" w:rsidP="00CE716E">
      <w:pPr>
        <w:tabs>
          <w:tab w:val="left" w:pos="1134"/>
        </w:tabs>
        <w:spacing w:line="360" w:lineRule="auto"/>
        <w:jc w:val="both"/>
        <w:rPr>
          <w:rFonts w:cs="Arial"/>
          <w:sz w:val="24"/>
          <w:szCs w:val="24"/>
        </w:rPr>
      </w:pPr>
      <w:r>
        <w:rPr>
          <w:rFonts w:cs="Arial"/>
          <w:b/>
          <w:sz w:val="24"/>
          <w:szCs w:val="24"/>
        </w:rPr>
        <w:t>a)</w:t>
      </w:r>
      <w:r>
        <w:rPr>
          <w:rFonts w:cs="Arial"/>
          <w:sz w:val="24"/>
          <w:szCs w:val="24"/>
        </w:rPr>
        <w:t xml:space="preserve"> cópia do registro comercial, no caso de empresa individual;</w:t>
      </w:r>
    </w:p>
    <w:p w:rsidR="00CE716E" w:rsidRDefault="00CE716E" w:rsidP="00CE716E">
      <w:pPr>
        <w:tabs>
          <w:tab w:val="left" w:pos="1134"/>
        </w:tabs>
        <w:spacing w:line="360" w:lineRule="auto"/>
        <w:jc w:val="both"/>
        <w:rPr>
          <w:rFonts w:cs="Arial"/>
          <w:sz w:val="24"/>
          <w:szCs w:val="24"/>
        </w:rPr>
      </w:pPr>
      <w:r>
        <w:rPr>
          <w:rFonts w:cs="Arial"/>
          <w:b/>
          <w:sz w:val="24"/>
          <w:szCs w:val="24"/>
        </w:rPr>
        <w:t>b)</w:t>
      </w:r>
      <w:r>
        <w:rPr>
          <w:rFonts w:cs="Arial"/>
          <w:sz w:val="24"/>
          <w:szCs w:val="24"/>
        </w:rPr>
        <w:t xml:space="preserve"> cópia do ato constitutivo, estatuto ou contrato social em vigor, devidamente registrado, em se tratando de sociedades comerciais, e, no caso de sociedade por ações, acompanhado de documentos de eleição de seus administradores;</w:t>
      </w:r>
    </w:p>
    <w:p w:rsidR="00CE716E" w:rsidRDefault="00CE716E" w:rsidP="00CE716E">
      <w:pPr>
        <w:pStyle w:val="NormalWeb"/>
        <w:spacing w:before="0" w:beforeAutospacing="0" w:after="0" w:afterAutospacing="0" w:line="360" w:lineRule="auto"/>
        <w:jc w:val="both"/>
        <w:rPr>
          <w:rFonts w:ascii="Arial" w:hAnsi="Arial" w:cs="Arial"/>
        </w:rPr>
      </w:pPr>
      <w:r>
        <w:rPr>
          <w:rFonts w:ascii="Arial" w:hAnsi="Arial" w:cs="Arial"/>
          <w:b/>
        </w:rPr>
        <w:t>c)</w:t>
      </w:r>
      <w:r>
        <w:rPr>
          <w:rFonts w:ascii="Arial" w:hAnsi="Arial" w:cs="Arial"/>
        </w:rPr>
        <w:t xml:space="preserve"> comprovante de inscrição no Cadastro Nacional de Pessoa Física (CPF), se o licitante for pessoa natural, ou no Cadastro Nacional da Pessoa Jurídica (CNPJ/MF), se o licitante for pessoa jurídica;</w:t>
      </w:r>
    </w:p>
    <w:p w:rsidR="00CE716E" w:rsidRDefault="00CE716E" w:rsidP="00CE716E">
      <w:pPr>
        <w:tabs>
          <w:tab w:val="left" w:pos="1134"/>
        </w:tabs>
        <w:spacing w:line="360" w:lineRule="auto"/>
        <w:jc w:val="both"/>
        <w:rPr>
          <w:rFonts w:cs="Arial"/>
          <w:sz w:val="24"/>
          <w:szCs w:val="24"/>
        </w:rPr>
      </w:pPr>
      <w:r>
        <w:rPr>
          <w:rFonts w:cs="Arial"/>
          <w:b/>
          <w:sz w:val="24"/>
          <w:szCs w:val="24"/>
        </w:rPr>
        <w:t>d)</w:t>
      </w:r>
      <w:r>
        <w:rPr>
          <w:rFonts w:cs="Arial"/>
          <w:sz w:val="24"/>
          <w:szCs w:val="24"/>
        </w:rPr>
        <w:t xml:space="preserve"> cópia do decreto de autorização, em se tratando de empresa ou sociedade estrangeira em funcionamento no País, e ato de registro ou autorização para funcionamento expedido pelo órgão competente, quando a atividade assim o exigir.</w:t>
      </w:r>
    </w:p>
    <w:p w:rsidR="00CE716E" w:rsidRDefault="00CE716E" w:rsidP="00CE716E">
      <w:pPr>
        <w:tabs>
          <w:tab w:val="left" w:pos="1134"/>
        </w:tabs>
        <w:spacing w:line="360" w:lineRule="auto"/>
        <w:jc w:val="both"/>
        <w:rPr>
          <w:rFonts w:cs="Arial"/>
          <w:b/>
          <w:sz w:val="24"/>
          <w:szCs w:val="24"/>
        </w:rPr>
      </w:pPr>
    </w:p>
    <w:p w:rsidR="00CE716E" w:rsidRDefault="00CE716E" w:rsidP="00CE716E">
      <w:pPr>
        <w:tabs>
          <w:tab w:val="left" w:pos="1134"/>
        </w:tabs>
        <w:spacing w:line="360" w:lineRule="auto"/>
        <w:jc w:val="both"/>
        <w:rPr>
          <w:rFonts w:cs="Arial"/>
          <w:b/>
          <w:sz w:val="24"/>
          <w:szCs w:val="24"/>
        </w:rPr>
      </w:pPr>
      <w:r>
        <w:rPr>
          <w:rFonts w:cs="Arial"/>
          <w:b/>
          <w:sz w:val="24"/>
          <w:szCs w:val="24"/>
        </w:rPr>
        <w:t>5.2. HABILITAÇÃO FISCAL, SOCIAL E TRABALHISTA</w:t>
      </w:r>
    </w:p>
    <w:p w:rsidR="00CE716E" w:rsidRDefault="00CE716E" w:rsidP="00CE716E">
      <w:pPr>
        <w:pStyle w:val="NormalWeb"/>
        <w:spacing w:before="0" w:beforeAutospacing="0" w:after="0" w:afterAutospacing="0" w:line="360" w:lineRule="auto"/>
        <w:jc w:val="both"/>
        <w:rPr>
          <w:rFonts w:ascii="Arial" w:hAnsi="Arial" w:cs="Arial"/>
        </w:rPr>
      </w:pPr>
      <w:bookmarkStart w:id="1" w:name="art68i"/>
      <w:bookmarkStart w:id="2" w:name="art68ii"/>
      <w:bookmarkEnd w:id="1"/>
      <w:bookmarkEnd w:id="2"/>
      <w:r>
        <w:rPr>
          <w:rFonts w:ascii="Arial" w:hAnsi="Arial" w:cs="Arial"/>
          <w:b/>
          <w:bCs/>
        </w:rPr>
        <w:t>a)</w:t>
      </w:r>
      <w:r>
        <w:rPr>
          <w:rFonts w:ascii="Arial" w:hAnsi="Arial" w:cs="Arial"/>
        </w:rPr>
        <w:t xml:space="preserve"> comprovante de inscrição no cadastro de contribuintes estadual e/ou municipal, se houver, relativo ao domicílio ou sede do licitante, pertinente ao seu ramo de atividade e compatível com o objeto;</w:t>
      </w:r>
    </w:p>
    <w:p w:rsidR="00CE716E" w:rsidRDefault="00CE716E" w:rsidP="00CE716E">
      <w:pPr>
        <w:pStyle w:val="NormalWeb"/>
        <w:spacing w:before="0" w:beforeAutospacing="0" w:after="0" w:afterAutospacing="0" w:line="360" w:lineRule="auto"/>
        <w:jc w:val="both"/>
        <w:rPr>
          <w:rFonts w:ascii="Arial" w:hAnsi="Arial" w:cs="Arial"/>
        </w:rPr>
      </w:pPr>
      <w:bookmarkStart w:id="3" w:name="art68iii"/>
      <w:bookmarkEnd w:id="3"/>
      <w:r>
        <w:rPr>
          <w:rFonts w:ascii="Arial" w:hAnsi="Arial" w:cs="Arial"/>
          <w:b/>
          <w:bCs/>
        </w:rPr>
        <w:lastRenderedPageBreak/>
        <w:t>b)</w:t>
      </w:r>
      <w:r>
        <w:rPr>
          <w:rFonts w:ascii="Arial" w:hAnsi="Arial" w:cs="Arial"/>
        </w:rPr>
        <w:t xml:space="preserve"> prova de regularidade perante a Fazenda federal, estadual e/ou municipal do domicílio ou sede do licitante, e </w:t>
      </w:r>
    </w:p>
    <w:p w:rsidR="00CE716E" w:rsidRDefault="00CE716E" w:rsidP="00CE716E">
      <w:pPr>
        <w:pStyle w:val="NormalWeb"/>
        <w:spacing w:before="0" w:beforeAutospacing="0" w:after="0" w:afterAutospacing="0" w:line="360" w:lineRule="auto"/>
        <w:jc w:val="both"/>
        <w:rPr>
          <w:rFonts w:ascii="Arial" w:hAnsi="Arial" w:cs="Arial"/>
        </w:rPr>
      </w:pPr>
      <w:r>
        <w:rPr>
          <w:rFonts w:ascii="Arial" w:hAnsi="Arial" w:cs="Arial"/>
          <w:b/>
        </w:rPr>
        <w:t>c)</w:t>
      </w:r>
      <w:r>
        <w:rPr>
          <w:rFonts w:ascii="Arial" w:hAnsi="Arial" w:cs="Arial"/>
        </w:rPr>
        <w:t xml:space="preserve"> Certidão Negativa de Débitos do Município de Santo Antônio das Missões-RS, nos termos do art. 193 do Código Tributário Nacional, ou outra equivalente, na forma da lei;</w:t>
      </w:r>
    </w:p>
    <w:p w:rsidR="00CE716E" w:rsidRDefault="00CE716E" w:rsidP="00CE716E">
      <w:pPr>
        <w:pStyle w:val="NormalWeb"/>
        <w:spacing w:before="0" w:beforeAutospacing="0" w:after="0" w:afterAutospacing="0" w:line="360" w:lineRule="auto"/>
        <w:jc w:val="both"/>
        <w:rPr>
          <w:rFonts w:ascii="Arial" w:hAnsi="Arial" w:cs="Arial"/>
        </w:rPr>
      </w:pPr>
      <w:bookmarkStart w:id="4" w:name="art68iv"/>
      <w:bookmarkEnd w:id="4"/>
      <w:r>
        <w:rPr>
          <w:rFonts w:ascii="Arial" w:hAnsi="Arial" w:cs="Arial"/>
          <w:b/>
          <w:bCs/>
        </w:rPr>
        <w:t>d)</w:t>
      </w:r>
      <w:r>
        <w:rPr>
          <w:rFonts w:ascii="Arial" w:hAnsi="Arial" w:cs="Arial"/>
        </w:rPr>
        <w:t xml:space="preserve"> prova de regularidade relativa à Seguridade Social e ao FGTS, que demonstre cumprimento dos encargos sociais instituídos por lei;</w:t>
      </w:r>
    </w:p>
    <w:p w:rsidR="00CE716E" w:rsidRDefault="00CE716E" w:rsidP="00CE716E">
      <w:pPr>
        <w:pStyle w:val="NormalWeb"/>
        <w:spacing w:before="0" w:beforeAutospacing="0" w:after="0" w:afterAutospacing="0" w:line="360" w:lineRule="auto"/>
        <w:jc w:val="both"/>
        <w:rPr>
          <w:rFonts w:ascii="Arial" w:hAnsi="Arial" w:cs="Arial"/>
        </w:rPr>
      </w:pPr>
      <w:bookmarkStart w:id="5" w:name="art68v"/>
      <w:bookmarkEnd w:id="5"/>
      <w:r>
        <w:rPr>
          <w:rFonts w:ascii="Arial" w:hAnsi="Arial" w:cs="Arial"/>
          <w:b/>
          <w:bCs/>
        </w:rPr>
        <w:t>e)</w:t>
      </w:r>
      <w:r>
        <w:rPr>
          <w:rFonts w:ascii="Arial" w:hAnsi="Arial" w:cs="Arial"/>
        </w:rPr>
        <w:t xml:space="preserve"> prova de regularidade perante a Justiça do Trabalho</w:t>
      </w:r>
      <w:bookmarkStart w:id="6" w:name="art68vi"/>
      <w:bookmarkEnd w:id="6"/>
      <w:r>
        <w:rPr>
          <w:rFonts w:ascii="Arial" w:hAnsi="Arial" w:cs="Arial"/>
        </w:rPr>
        <w:t>.</w:t>
      </w:r>
    </w:p>
    <w:p w:rsidR="00CE716E" w:rsidRDefault="00CE716E" w:rsidP="00CE716E">
      <w:pPr>
        <w:pStyle w:val="NormalWeb"/>
        <w:spacing w:before="0" w:beforeAutospacing="0" w:after="0" w:afterAutospacing="0" w:line="360" w:lineRule="auto"/>
        <w:jc w:val="both"/>
        <w:rPr>
          <w:rFonts w:ascii="Arial" w:hAnsi="Arial" w:cs="Arial"/>
        </w:rPr>
      </w:pPr>
    </w:p>
    <w:p w:rsidR="00CE716E" w:rsidRDefault="00CE716E" w:rsidP="00CE716E">
      <w:pPr>
        <w:pStyle w:val="Corpodetexto"/>
        <w:tabs>
          <w:tab w:val="left" w:pos="1215"/>
        </w:tabs>
        <w:spacing w:after="0" w:line="360" w:lineRule="auto"/>
        <w:jc w:val="both"/>
        <w:rPr>
          <w:rFonts w:cs="Arial"/>
          <w:b/>
          <w:bCs/>
          <w:sz w:val="24"/>
          <w:szCs w:val="24"/>
        </w:rPr>
      </w:pPr>
      <w:bookmarkStart w:id="7" w:name="art68§1"/>
      <w:bookmarkEnd w:id="7"/>
      <w:r>
        <w:rPr>
          <w:rFonts w:cs="Arial"/>
          <w:b/>
          <w:bCs/>
          <w:sz w:val="24"/>
          <w:szCs w:val="24"/>
        </w:rPr>
        <w:t>5.3. HABILITAÇÃO ECONÔMICO-FINANCEIRA:</w:t>
      </w:r>
    </w:p>
    <w:p w:rsidR="00CE716E" w:rsidRDefault="00CE716E" w:rsidP="00CE716E">
      <w:pPr>
        <w:spacing w:line="360" w:lineRule="auto"/>
        <w:jc w:val="both"/>
        <w:rPr>
          <w:rFonts w:cs="Arial"/>
          <w:b/>
          <w:sz w:val="24"/>
          <w:szCs w:val="24"/>
        </w:rPr>
      </w:pPr>
      <w:bookmarkStart w:id="8" w:name="_Hlk508883518"/>
      <w:r>
        <w:rPr>
          <w:rFonts w:cs="Arial"/>
          <w:b/>
          <w:sz w:val="24"/>
          <w:szCs w:val="24"/>
        </w:rPr>
        <w:t>a)</w:t>
      </w:r>
      <w:r>
        <w:rPr>
          <w:rFonts w:cs="Arial"/>
          <w:sz w:val="24"/>
          <w:szCs w:val="24"/>
        </w:rPr>
        <w:t xml:space="preserve"> certidão negativa de falência expedida pelo distribuidor da sede da pessoa jurídica, em prazo não superior a 60 dias da data designada para a apresentação do documento;</w:t>
      </w:r>
    </w:p>
    <w:bookmarkEnd w:id="8"/>
    <w:p w:rsidR="00CE716E" w:rsidRDefault="00CE716E" w:rsidP="00CE716E">
      <w:pPr>
        <w:spacing w:line="360" w:lineRule="auto"/>
        <w:jc w:val="both"/>
        <w:rPr>
          <w:rFonts w:cs="Arial"/>
          <w:b/>
          <w:sz w:val="24"/>
          <w:szCs w:val="24"/>
        </w:rPr>
      </w:pPr>
    </w:p>
    <w:p w:rsidR="00CE716E" w:rsidRDefault="00CE716E" w:rsidP="00CE716E">
      <w:pPr>
        <w:spacing w:line="360" w:lineRule="auto"/>
        <w:jc w:val="both"/>
        <w:rPr>
          <w:rFonts w:cs="Arial"/>
          <w:b/>
          <w:sz w:val="24"/>
          <w:szCs w:val="24"/>
        </w:rPr>
      </w:pPr>
      <w:r>
        <w:rPr>
          <w:rFonts w:cs="Arial"/>
          <w:b/>
          <w:sz w:val="24"/>
          <w:szCs w:val="24"/>
        </w:rPr>
        <w:t>6. VEDAÇÕES</w:t>
      </w:r>
    </w:p>
    <w:p w:rsidR="00CE716E" w:rsidRDefault="00CE716E" w:rsidP="00CE716E">
      <w:pPr>
        <w:spacing w:line="360" w:lineRule="auto"/>
        <w:jc w:val="both"/>
        <w:rPr>
          <w:rFonts w:cs="Arial"/>
          <w:sz w:val="24"/>
          <w:szCs w:val="24"/>
        </w:rPr>
      </w:pPr>
      <w:proofErr w:type="gramStart"/>
      <w:r>
        <w:rPr>
          <w:rFonts w:cs="Arial"/>
          <w:b/>
          <w:sz w:val="24"/>
          <w:szCs w:val="24"/>
        </w:rPr>
        <w:t xml:space="preserve">6.1 </w:t>
      </w:r>
      <w:r>
        <w:rPr>
          <w:rFonts w:cs="Arial"/>
          <w:sz w:val="24"/>
          <w:szCs w:val="24"/>
        </w:rPr>
        <w:t>Não</w:t>
      </w:r>
      <w:proofErr w:type="gramEnd"/>
      <w:r>
        <w:rPr>
          <w:rFonts w:cs="Arial"/>
          <w:sz w:val="24"/>
          <w:szCs w:val="24"/>
        </w:rPr>
        <w:t xml:space="preserve"> poderão disputar licitação ou participar da execução da ata de registro de preços e/ou contrato, direta ou indiretamente:</w:t>
      </w:r>
    </w:p>
    <w:p w:rsidR="00CE716E" w:rsidRDefault="00CE716E" w:rsidP="00CE716E">
      <w:pPr>
        <w:spacing w:line="360" w:lineRule="auto"/>
        <w:jc w:val="both"/>
        <w:rPr>
          <w:rFonts w:cs="Arial"/>
          <w:sz w:val="24"/>
          <w:szCs w:val="24"/>
        </w:rPr>
      </w:pPr>
      <w:r>
        <w:rPr>
          <w:rFonts w:cs="Arial"/>
          <w:b/>
          <w:bCs/>
          <w:sz w:val="24"/>
          <w:szCs w:val="24"/>
        </w:rPr>
        <w:t>a)</w:t>
      </w:r>
      <w:r>
        <w:rPr>
          <w:rFonts w:cs="Arial"/>
          <w:sz w:val="24"/>
          <w:szCs w:val="24"/>
        </w:rPr>
        <w:t xml:space="preserve"> pessoa física ou jurídica que se encontre, ao tempo da licitação, impossibilitada de participar da licitação em decorrência de sanção que lhe foi imposta;</w:t>
      </w:r>
    </w:p>
    <w:p w:rsidR="00CE716E" w:rsidRDefault="00CE716E" w:rsidP="00CE716E">
      <w:pPr>
        <w:pStyle w:val="NormalWeb"/>
        <w:spacing w:before="0" w:beforeAutospacing="0" w:after="0" w:afterAutospacing="0" w:line="360" w:lineRule="auto"/>
        <w:jc w:val="both"/>
        <w:rPr>
          <w:rFonts w:ascii="Arial" w:hAnsi="Arial" w:cs="Arial"/>
        </w:rPr>
      </w:pPr>
      <w:bookmarkStart w:id="9" w:name="art14iv"/>
      <w:bookmarkEnd w:id="9"/>
      <w:r>
        <w:rPr>
          <w:rFonts w:ascii="Arial" w:hAnsi="Arial" w:cs="Arial"/>
          <w:b/>
          <w:bCs/>
        </w:rPr>
        <w:t>b)</w:t>
      </w:r>
      <w:r>
        <w:rPr>
          <w:rFonts w:ascii="Arial" w:hAnsi="Arial" w:cs="Arial"/>
        </w:rPr>
        <w:t xml:space="preserve"> aquele que mantenha vínculo de natureza técnica, comercial, econômica, financeira, trabalhista ou civil com dirigente do órgão ou entidade contratante ou com agente público que desempenhe função na licitação ou atue na fiscalização ou na gestão da ata de registro de preços e/ou contrato, ou que deles seja cônjuge, companheiro ou parente em linha reta, colateral ou por afinidade, até o terceiro grau;</w:t>
      </w:r>
    </w:p>
    <w:p w:rsidR="00CE716E" w:rsidRDefault="00CE716E" w:rsidP="00CE716E">
      <w:pPr>
        <w:pStyle w:val="NormalWeb"/>
        <w:spacing w:before="0" w:beforeAutospacing="0" w:after="0" w:afterAutospacing="0" w:line="360" w:lineRule="auto"/>
        <w:jc w:val="both"/>
        <w:rPr>
          <w:rFonts w:ascii="Arial" w:hAnsi="Arial" w:cs="Arial"/>
        </w:rPr>
      </w:pPr>
      <w:bookmarkStart w:id="10" w:name="art14v"/>
      <w:bookmarkEnd w:id="10"/>
      <w:r>
        <w:rPr>
          <w:rFonts w:ascii="Arial" w:hAnsi="Arial" w:cs="Arial"/>
          <w:b/>
          <w:bCs/>
        </w:rPr>
        <w:t>c)</w:t>
      </w:r>
      <w:r>
        <w:rPr>
          <w:rFonts w:ascii="Arial" w:hAnsi="Arial" w:cs="Arial"/>
        </w:rPr>
        <w:t xml:space="preserve"> empresas controladoras, controladas ou coligadas, nos termos da </w:t>
      </w:r>
      <w:hyperlink r:id="rId7" w:history="1">
        <w:r>
          <w:rPr>
            <w:rStyle w:val="Hyperlink"/>
            <w:rFonts w:ascii="Arial" w:hAnsi="Arial" w:cs="Arial"/>
          </w:rPr>
          <w:t>Lei nº 6.404, de 15 de dezembro de 1976</w:t>
        </w:r>
      </w:hyperlink>
      <w:r>
        <w:rPr>
          <w:rFonts w:ascii="Arial" w:hAnsi="Arial" w:cs="Arial"/>
        </w:rPr>
        <w:t>, concorrendo entre si;</w:t>
      </w:r>
    </w:p>
    <w:p w:rsidR="00CE716E" w:rsidRDefault="00CE716E" w:rsidP="00CE716E">
      <w:pPr>
        <w:pStyle w:val="NormalWeb"/>
        <w:spacing w:before="0" w:beforeAutospacing="0" w:after="0" w:afterAutospacing="0" w:line="360" w:lineRule="auto"/>
        <w:jc w:val="both"/>
        <w:rPr>
          <w:rFonts w:ascii="Arial" w:hAnsi="Arial" w:cs="Arial"/>
        </w:rPr>
      </w:pPr>
      <w:bookmarkStart w:id="11" w:name="art14vi"/>
      <w:bookmarkEnd w:id="11"/>
      <w:r>
        <w:rPr>
          <w:rFonts w:ascii="Arial" w:hAnsi="Arial" w:cs="Arial"/>
          <w:b/>
          <w:bCs/>
        </w:rPr>
        <w:lastRenderedPageBreak/>
        <w:t>d)</w:t>
      </w:r>
      <w:r>
        <w:rPr>
          <w:rFonts w:ascii="Arial" w:hAnsi="Arial" w:cs="Arial"/>
        </w:rPr>
        <w:t xml:space="preserve"> pessoa física ou jurídica que, nos 5 (cinco) anos anteriores à divulgação do edital, tenha sido condenada judicialmente, com trânsito em julgado, por exploração de trabalho infantil, por submissão de trabalhadores a condições análogas às de escravo ou por contratação de adolescentes nos casos vedados pela legislação trabalhista;</w:t>
      </w:r>
    </w:p>
    <w:p w:rsidR="00CE716E" w:rsidRDefault="00CE716E" w:rsidP="00CE716E">
      <w:pPr>
        <w:pStyle w:val="NormalWeb"/>
        <w:spacing w:before="0" w:beforeAutospacing="0" w:after="0" w:afterAutospacing="0" w:line="360" w:lineRule="auto"/>
        <w:jc w:val="both"/>
        <w:rPr>
          <w:rFonts w:ascii="Arial" w:hAnsi="Arial" w:cs="Arial"/>
        </w:rPr>
      </w:pPr>
      <w:r>
        <w:rPr>
          <w:rFonts w:ascii="Arial" w:hAnsi="Arial" w:cs="Arial"/>
          <w:b/>
          <w:bCs/>
        </w:rPr>
        <w:t>e)</w:t>
      </w:r>
      <w:r>
        <w:rPr>
          <w:rFonts w:ascii="Arial" w:hAnsi="Arial" w:cs="Arial"/>
        </w:rPr>
        <w:t xml:space="preserve"> agente público do órgão licitante, devendo ser observadas as situações que possam configurar conflito de interesses no exercício ou após o exercício do cargo ou emprego, nos termos da legislação que disciplina a matéria.</w:t>
      </w:r>
      <w:r>
        <w:rPr>
          <w:rStyle w:val="Refdenotaderodap"/>
          <w:rFonts w:ascii="Arial" w:eastAsiaTheme="majorEastAsia" w:hAnsi="Arial" w:cs="Arial"/>
        </w:rPr>
        <w:footnoteReference w:id="4"/>
      </w:r>
    </w:p>
    <w:p w:rsidR="00CE716E" w:rsidRDefault="00CE716E" w:rsidP="00CE716E">
      <w:pPr>
        <w:pStyle w:val="NormalWeb"/>
        <w:spacing w:before="0" w:beforeAutospacing="0" w:after="0" w:afterAutospacing="0" w:line="360" w:lineRule="auto"/>
        <w:jc w:val="both"/>
        <w:rPr>
          <w:rFonts w:ascii="Arial" w:hAnsi="Arial" w:cs="Arial"/>
        </w:rPr>
      </w:pPr>
      <w:r>
        <w:rPr>
          <w:rFonts w:ascii="Arial" w:hAnsi="Arial" w:cs="Arial"/>
          <w:b/>
          <w:bCs/>
        </w:rPr>
        <w:t>6.2.</w:t>
      </w:r>
      <w:r>
        <w:rPr>
          <w:rFonts w:ascii="Arial" w:hAnsi="Arial" w:cs="Arial"/>
        </w:rPr>
        <w:t xml:space="preserve"> O impedimento de que trata a alínea “a” do item 6.1, supra, será também aplicado ao licitante que atue em substituição a outra pessoa, física ou jurídica, com o intuito de burlar a efetividade da sanção a ela aplicada, inclusive a sua controladora, controlada ou coligada, desde que devidamente comprovado o ilícito ou a utilização fraudulenta da personalidade jurídica do licitante.</w:t>
      </w:r>
    </w:p>
    <w:p w:rsidR="00CE716E" w:rsidRDefault="00CE716E" w:rsidP="00CE716E">
      <w:pPr>
        <w:tabs>
          <w:tab w:val="left" w:pos="1134"/>
        </w:tabs>
        <w:spacing w:line="360" w:lineRule="auto"/>
        <w:jc w:val="both"/>
        <w:rPr>
          <w:rFonts w:cs="Arial"/>
          <w:sz w:val="24"/>
          <w:szCs w:val="24"/>
        </w:rPr>
      </w:pPr>
      <w:r>
        <w:rPr>
          <w:rFonts w:cs="Arial"/>
          <w:b/>
          <w:bCs/>
          <w:sz w:val="24"/>
          <w:szCs w:val="24"/>
        </w:rPr>
        <w:t>6.3.</w:t>
      </w:r>
      <w:r>
        <w:rPr>
          <w:rFonts w:cs="Arial"/>
          <w:sz w:val="24"/>
          <w:szCs w:val="24"/>
        </w:rPr>
        <w:t xml:space="preserve"> Durante a vigência da ata de registro de preços e/ou contrato, é vedado ao contratado contratar cônjuge, companheiro ou parente em linha reta, colateral ou por afinidade, até o terceiro grau, de dirigente do órgão contratante ou de agente público que desempenhe função na licitação ou atue na fiscalização ou na gestão da ata de registro de preços e/ou contrato</w:t>
      </w:r>
      <w:r>
        <w:rPr>
          <w:rStyle w:val="Refdenotaderodap"/>
          <w:rFonts w:eastAsiaTheme="majorEastAsia" w:cs="Arial"/>
          <w:sz w:val="24"/>
          <w:szCs w:val="24"/>
        </w:rPr>
        <w:footnoteReference w:id="5"/>
      </w:r>
      <w:r>
        <w:rPr>
          <w:rFonts w:cs="Arial"/>
          <w:sz w:val="24"/>
          <w:szCs w:val="24"/>
        </w:rPr>
        <w:t>.</w:t>
      </w:r>
    </w:p>
    <w:p w:rsidR="00CE716E" w:rsidRDefault="00CE716E" w:rsidP="00CE716E">
      <w:pPr>
        <w:tabs>
          <w:tab w:val="left" w:pos="1134"/>
        </w:tabs>
        <w:spacing w:line="360" w:lineRule="auto"/>
        <w:jc w:val="both"/>
        <w:rPr>
          <w:rFonts w:cs="Arial"/>
          <w:sz w:val="24"/>
          <w:szCs w:val="24"/>
        </w:rPr>
      </w:pPr>
    </w:p>
    <w:p w:rsidR="00CE716E" w:rsidRDefault="00CE716E" w:rsidP="00CE716E">
      <w:pPr>
        <w:spacing w:line="360" w:lineRule="auto"/>
        <w:jc w:val="both"/>
        <w:rPr>
          <w:rFonts w:cs="Arial"/>
          <w:b/>
          <w:sz w:val="24"/>
          <w:szCs w:val="24"/>
        </w:rPr>
      </w:pPr>
      <w:r>
        <w:rPr>
          <w:rFonts w:cs="Arial"/>
          <w:b/>
          <w:sz w:val="24"/>
          <w:szCs w:val="24"/>
        </w:rPr>
        <w:t>7. ABERTURA DA SESSÃO PÚBLICA</w:t>
      </w:r>
    </w:p>
    <w:p w:rsidR="00CE716E" w:rsidRDefault="00CE716E" w:rsidP="00CE716E">
      <w:pPr>
        <w:tabs>
          <w:tab w:val="left" w:pos="1134"/>
        </w:tabs>
        <w:spacing w:line="360" w:lineRule="auto"/>
        <w:jc w:val="both"/>
        <w:rPr>
          <w:rFonts w:cs="Arial"/>
          <w:bCs/>
          <w:sz w:val="24"/>
          <w:szCs w:val="24"/>
        </w:rPr>
      </w:pPr>
      <w:r>
        <w:rPr>
          <w:rFonts w:cs="Arial"/>
          <w:b/>
          <w:sz w:val="24"/>
          <w:szCs w:val="24"/>
        </w:rPr>
        <w:t xml:space="preserve">7.1. </w:t>
      </w:r>
      <w:r>
        <w:rPr>
          <w:rFonts w:cs="Arial"/>
          <w:bCs/>
          <w:sz w:val="24"/>
          <w:szCs w:val="24"/>
        </w:rPr>
        <w:t>No dia e hora indicados no preâmbulo, o pregoeiro abrirá a sessão pública, mediante a utilização de sua chave e senha.</w:t>
      </w:r>
    </w:p>
    <w:p w:rsidR="00CE716E" w:rsidRDefault="00CE716E" w:rsidP="00CE716E">
      <w:pPr>
        <w:tabs>
          <w:tab w:val="left" w:pos="1134"/>
        </w:tabs>
        <w:spacing w:line="360" w:lineRule="auto"/>
        <w:jc w:val="both"/>
        <w:rPr>
          <w:rFonts w:cs="Arial"/>
          <w:bCs/>
          <w:sz w:val="24"/>
          <w:szCs w:val="24"/>
        </w:rPr>
      </w:pPr>
      <w:r>
        <w:rPr>
          <w:rFonts w:cs="Arial"/>
          <w:b/>
          <w:sz w:val="24"/>
          <w:szCs w:val="24"/>
        </w:rPr>
        <w:t xml:space="preserve">7.2. </w:t>
      </w:r>
      <w:r>
        <w:rPr>
          <w:rFonts w:cs="Arial"/>
          <w:bCs/>
          <w:sz w:val="24"/>
          <w:szCs w:val="24"/>
        </w:rPr>
        <w:t xml:space="preserve">O licitante poderá participar da sessão pública na internet, mediante a utilização de sua chave de acesso e senha, e deverá acompanhar o andamento do certame e as operações realizadas no sistema eletrônico durante toda a sessão pública do pregão, ficando responsável pela perda de negócios diante </w:t>
      </w:r>
      <w:r>
        <w:rPr>
          <w:rFonts w:cs="Arial"/>
          <w:sz w:val="24"/>
          <w:szCs w:val="24"/>
        </w:rPr>
        <w:t xml:space="preserve">da </w:t>
      </w:r>
      <w:r>
        <w:rPr>
          <w:rFonts w:cs="Arial"/>
          <w:sz w:val="24"/>
          <w:szCs w:val="24"/>
        </w:rPr>
        <w:lastRenderedPageBreak/>
        <w:t>inobservância de mensagens emitidas pelo sistema ou de sua desconexão, conforme item 2.3.2 deste Edital.</w:t>
      </w:r>
    </w:p>
    <w:p w:rsidR="00CE716E" w:rsidRDefault="00CE716E" w:rsidP="00CE716E">
      <w:pPr>
        <w:tabs>
          <w:tab w:val="left" w:pos="1134"/>
        </w:tabs>
        <w:spacing w:line="360" w:lineRule="auto"/>
        <w:jc w:val="both"/>
        <w:rPr>
          <w:rFonts w:cs="Arial"/>
          <w:bCs/>
          <w:sz w:val="24"/>
          <w:szCs w:val="24"/>
        </w:rPr>
      </w:pPr>
      <w:r>
        <w:rPr>
          <w:rFonts w:cs="Arial"/>
          <w:b/>
          <w:sz w:val="24"/>
          <w:szCs w:val="24"/>
        </w:rPr>
        <w:t xml:space="preserve">7.3. </w:t>
      </w:r>
      <w:r>
        <w:rPr>
          <w:rFonts w:cs="Arial"/>
          <w:bCs/>
          <w:sz w:val="24"/>
          <w:szCs w:val="24"/>
        </w:rPr>
        <w:t>A comunicação entre o pregoeiro e os licitantes ocorrerá mediante troca de mensagens em campo próprio do sistema eletrônico.</w:t>
      </w:r>
    </w:p>
    <w:p w:rsidR="00CE716E" w:rsidRDefault="00CE716E" w:rsidP="00CE716E">
      <w:pPr>
        <w:tabs>
          <w:tab w:val="left" w:pos="1134"/>
        </w:tabs>
        <w:spacing w:line="360" w:lineRule="auto"/>
        <w:jc w:val="both"/>
        <w:rPr>
          <w:rFonts w:cs="Arial"/>
          <w:bCs/>
          <w:sz w:val="24"/>
          <w:szCs w:val="24"/>
        </w:rPr>
      </w:pPr>
      <w:r>
        <w:rPr>
          <w:rFonts w:cs="Arial"/>
          <w:b/>
          <w:sz w:val="24"/>
          <w:szCs w:val="24"/>
        </w:rPr>
        <w:t xml:space="preserve">7.4. </w:t>
      </w:r>
      <w:r>
        <w:rPr>
          <w:rFonts w:cs="Arial"/>
          <w:bCs/>
          <w:sz w:val="24"/>
          <w:szCs w:val="24"/>
        </w:rPr>
        <w:t>Iniciada a sessão, as propostas de preços contendo a descrição do objeto e do valor estarão disponíveis na internet.</w:t>
      </w:r>
    </w:p>
    <w:p w:rsidR="00CE716E" w:rsidRDefault="00CE716E" w:rsidP="00CE716E">
      <w:pPr>
        <w:tabs>
          <w:tab w:val="left" w:pos="1134"/>
        </w:tabs>
        <w:spacing w:line="360" w:lineRule="auto"/>
        <w:jc w:val="both"/>
        <w:rPr>
          <w:rFonts w:cs="Arial"/>
          <w:bCs/>
          <w:sz w:val="24"/>
          <w:szCs w:val="24"/>
        </w:rPr>
      </w:pPr>
    </w:p>
    <w:p w:rsidR="00CE716E" w:rsidRDefault="00CE716E" w:rsidP="00CE716E">
      <w:pPr>
        <w:spacing w:line="360" w:lineRule="auto"/>
        <w:jc w:val="both"/>
        <w:rPr>
          <w:rFonts w:cs="Arial"/>
          <w:b/>
          <w:sz w:val="24"/>
          <w:szCs w:val="24"/>
        </w:rPr>
      </w:pPr>
      <w:r>
        <w:rPr>
          <w:rFonts w:cs="Arial"/>
          <w:b/>
          <w:sz w:val="24"/>
          <w:szCs w:val="24"/>
        </w:rPr>
        <w:t>8. CLASSIFICAÇÃO INICIAL DAS PROPOSTAS E FORMULAÇÃO DE LANCES</w:t>
      </w:r>
    </w:p>
    <w:p w:rsidR="00CE716E" w:rsidRDefault="00CE716E" w:rsidP="00CE716E">
      <w:pPr>
        <w:tabs>
          <w:tab w:val="left" w:pos="1134"/>
        </w:tabs>
        <w:spacing w:line="360" w:lineRule="auto"/>
        <w:jc w:val="both"/>
        <w:rPr>
          <w:rFonts w:cs="Arial"/>
          <w:bCs/>
          <w:sz w:val="24"/>
          <w:szCs w:val="24"/>
        </w:rPr>
      </w:pPr>
      <w:r>
        <w:rPr>
          <w:rFonts w:cs="Arial"/>
          <w:b/>
          <w:sz w:val="24"/>
          <w:szCs w:val="24"/>
        </w:rPr>
        <w:t xml:space="preserve">8.1. </w:t>
      </w:r>
      <w:r>
        <w:rPr>
          <w:rFonts w:cs="Arial"/>
          <w:bCs/>
          <w:sz w:val="24"/>
          <w:szCs w:val="24"/>
        </w:rPr>
        <w:t>O pregoeiro verificará as propostas apresentadas e desclassificará fundamentadamente aquelas que não estejam em conformidade com os requisitos estabelecidos no edital.</w:t>
      </w:r>
    </w:p>
    <w:p w:rsidR="00CE716E" w:rsidRDefault="00CE716E" w:rsidP="00CE716E">
      <w:pPr>
        <w:tabs>
          <w:tab w:val="left" w:pos="1134"/>
        </w:tabs>
        <w:spacing w:line="360" w:lineRule="auto"/>
        <w:jc w:val="both"/>
        <w:rPr>
          <w:rFonts w:cs="Arial"/>
          <w:sz w:val="24"/>
          <w:szCs w:val="24"/>
        </w:rPr>
      </w:pPr>
      <w:r>
        <w:rPr>
          <w:rFonts w:cs="Arial"/>
          <w:b/>
          <w:sz w:val="24"/>
          <w:szCs w:val="24"/>
        </w:rPr>
        <w:t xml:space="preserve">8.2. </w:t>
      </w:r>
      <w:r>
        <w:rPr>
          <w:rFonts w:cs="Arial"/>
          <w:sz w:val="24"/>
          <w:szCs w:val="24"/>
        </w:rPr>
        <w:t>Serão desclassificadas as propostas que:</w:t>
      </w:r>
    </w:p>
    <w:p w:rsidR="00CE716E" w:rsidRDefault="00CE716E" w:rsidP="00CE716E">
      <w:pPr>
        <w:pStyle w:val="NormalWeb"/>
        <w:spacing w:before="0" w:beforeAutospacing="0" w:after="0" w:afterAutospacing="0" w:line="360" w:lineRule="auto"/>
        <w:jc w:val="both"/>
        <w:rPr>
          <w:rFonts w:ascii="Arial" w:hAnsi="Arial" w:cs="Arial"/>
        </w:rPr>
      </w:pPr>
      <w:r>
        <w:rPr>
          <w:rFonts w:ascii="Arial" w:hAnsi="Arial" w:cs="Arial"/>
          <w:b/>
          <w:bCs/>
        </w:rPr>
        <w:t xml:space="preserve">a) </w:t>
      </w:r>
      <w:r>
        <w:rPr>
          <w:rFonts w:ascii="Arial" w:hAnsi="Arial" w:cs="Arial"/>
        </w:rPr>
        <w:t>contiverem vícios insanáveis;</w:t>
      </w:r>
    </w:p>
    <w:p w:rsidR="00CE716E" w:rsidRDefault="00CE716E" w:rsidP="00CE716E">
      <w:pPr>
        <w:pStyle w:val="NormalWeb"/>
        <w:spacing w:before="0" w:beforeAutospacing="0" w:after="0" w:afterAutospacing="0" w:line="360" w:lineRule="auto"/>
        <w:jc w:val="both"/>
        <w:rPr>
          <w:rFonts w:ascii="Arial" w:hAnsi="Arial" w:cs="Arial"/>
        </w:rPr>
      </w:pPr>
      <w:bookmarkStart w:id="12" w:name="art59ii"/>
      <w:bookmarkEnd w:id="12"/>
      <w:r>
        <w:rPr>
          <w:rFonts w:ascii="Arial" w:hAnsi="Arial" w:cs="Arial"/>
          <w:b/>
          <w:bCs/>
        </w:rPr>
        <w:t>b)</w:t>
      </w:r>
      <w:r>
        <w:rPr>
          <w:rFonts w:ascii="Arial" w:hAnsi="Arial" w:cs="Arial"/>
        </w:rPr>
        <w:t xml:space="preserve"> não obedecerem às especificações técnicas pormenorizadas no edital;</w:t>
      </w:r>
    </w:p>
    <w:p w:rsidR="00CE716E" w:rsidRDefault="00CE716E" w:rsidP="00CE716E">
      <w:pPr>
        <w:pStyle w:val="NormalWeb"/>
        <w:spacing w:before="0" w:beforeAutospacing="0" w:after="0" w:afterAutospacing="0" w:line="360" w:lineRule="auto"/>
        <w:jc w:val="both"/>
        <w:rPr>
          <w:rFonts w:ascii="Arial" w:hAnsi="Arial" w:cs="Arial"/>
        </w:rPr>
      </w:pPr>
      <w:bookmarkStart w:id="13" w:name="art59iii"/>
      <w:bookmarkEnd w:id="13"/>
      <w:r>
        <w:rPr>
          <w:rFonts w:ascii="Arial" w:hAnsi="Arial" w:cs="Arial"/>
          <w:b/>
          <w:bCs/>
        </w:rPr>
        <w:t>c)</w:t>
      </w:r>
      <w:r>
        <w:rPr>
          <w:rFonts w:ascii="Arial" w:hAnsi="Arial" w:cs="Arial"/>
        </w:rPr>
        <w:t xml:space="preserve"> apresentarem preços inexequíveis ou permanecerem acima do orçamento estimado para a contratação após a fase de lances;</w:t>
      </w:r>
    </w:p>
    <w:p w:rsidR="00CE716E" w:rsidRDefault="00CE716E" w:rsidP="00CE716E">
      <w:pPr>
        <w:pStyle w:val="NormalWeb"/>
        <w:spacing w:before="0" w:beforeAutospacing="0" w:after="0" w:afterAutospacing="0" w:line="360" w:lineRule="auto"/>
        <w:jc w:val="both"/>
        <w:rPr>
          <w:rFonts w:ascii="Arial" w:hAnsi="Arial" w:cs="Arial"/>
        </w:rPr>
      </w:pPr>
      <w:bookmarkStart w:id="14" w:name="art59iv"/>
      <w:bookmarkEnd w:id="14"/>
      <w:r>
        <w:rPr>
          <w:rFonts w:ascii="Arial" w:hAnsi="Arial" w:cs="Arial"/>
          <w:b/>
          <w:bCs/>
        </w:rPr>
        <w:t>d)</w:t>
      </w:r>
      <w:r>
        <w:rPr>
          <w:rFonts w:ascii="Arial" w:hAnsi="Arial" w:cs="Arial"/>
        </w:rPr>
        <w:t xml:space="preserve"> não tiverem sua exequibilidade demonstrada, quando exigido pela Administração;</w:t>
      </w:r>
    </w:p>
    <w:p w:rsidR="00CE716E" w:rsidRDefault="00CE716E" w:rsidP="00CE716E">
      <w:pPr>
        <w:pStyle w:val="NormalWeb"/>
        <w:spacing w:before="0" w:beforeAutospacing="0" w:after="0" w:afterAutospacing="0" w:line="360" w:lineRule="auto"/>
        <w:jc w:val="both"/>
        <w:rPr>
          <w:rFonts w:ascii="Arial" w:hAnsi="Arial" w:cs="Arial"/>
        </w:rPr>
      </w:pPr>
      <w:bookmarkStart w:id="15" w:name="art59v"/>
      <w:bookmarkEnd w:id="15"/>
      <w:r>
        <w:rPr>
          <w:rFonts w:ascii="Arial" w:hAnsi="Arial" w:cs="Arial"/>
          <w:b/>
          <w:bCs/>
        </w:rPr>
        <w:t>e)</w:t>
      </w:r>
      <w:r>
        <w:rPr>
          <w:rFonts w:ascii="Arial" w:hAnsi="Arial" w:cs="Arial"/>
        </w:rPr>
        <w:t xml:space="preserve"> apresentarem desconformidade com quaisquer outras exigências do edital, desde que insanável.</w:t>
      </w:r>
    </w:p>
    <w:p w:rsidR="00CE716E" w:rsidRDefault="00CE716E" w:rsidP="00CE716E">
      <w:pPr>
        <w:pStyle w:val="NormalWeb"/>
        <w:spacing w:before="0" w:beforeAutospacing="0" w:after="0" w:afterAutospacing="0" w:line="360" w:lineRule="auto"/>
        <w:jc w:val="both"/>
        <w:rPr>
          <w:rFonts w:ascii="Arial" w:hAnsi="Arial" w:cs="Arial"/>
        </w:rPr>
      </w:pPr>
      <w:r>
        <w:rPr>
          <w:rFonts w:ascii="Arial" w:hAnsi="Arial" w:cs="Arial"/>
          <w:b/>
          <w:bCs/>
        </w:rPr>
        <w:t>8.3.</w:t>
      </w:r>
      <w:r>
        <w:rPr>
          <w:rFonts w:ascii="Arial" w:hAnsi="Arial" w:cs="Arial"/>
        </w:rPr>
        <w:t xml:space="preserve"> A verificação da conformidade das propostas poderá ser feita exclusivamente em relação à proposta mais bem classificada.</w:t>
      </w:r>
    </w:p>
    <w:p w:rsidR="00CE716E" w:rsidRDefault="00CE716E" w:rsidP="00CE716E">
      <w:pPr>
        <w:tabs>
          <w:tab w:val="left" w:pos="1134"/>
        </w:tabs>
        <w:spacing w:line="360" w:lineRule="auto"/>
        <w:jc w:val="both"/>
        <w:rPr>
          <w:rFonts w:cs="Arial"/>
          <w:sz w:val="24"/>
          <w:szCs w:val="24"/>
        </w:rPr>
      </w:pPr>
      <w:bookmarkStart w:id="16" w:name="art59§2"/>
      <w:bookmarkEnd w:id="16"/>
      <w:r>
        <w:rPr>
          <w:rFonts w:cs="Arial"/>
          <w:b/>
          <w:bCs/>
          <w:sz w:val="24"/>
          <w:szCs w:val="24"/>
        </w:rPr>
        <w:t xml:space="preserve">8.4. </w:t>
      </w:r>
      <w:r>
        <w:rPr>
          <w:rFonts w:cs="Arial"/>
          <w:sz w:val="24"/>
          <w:szCs w:val="24"/>
        </w:rPr>
        <w:t>Quaisquer inserções na proposta que visem modificar, extinguir ou criar direitos, sem previsão no edital, serão tidas como inexistentes, aproveitando-se a proposta no que não for conflitante com o instrumento convocatório.</w:t>
      </w:r>
    </w:p>
    <w:p w:rsidR="00CE716E" w:rsidRDefault="00CE716E" w:rsidP="00CE716E">
      <w:pPr>
        <w:tabs>
          <w:tab w:val="left" w:pos="1134"/>
        </w:tabs>
        <w:spacing w:line="360" w:lineRule="auto"/>
        <w:jc w:val="both"/>
        <w:rPr>
          <w:rFonts w:cs="Arial"/>
          <w:bCs/>
          <w:sz w:val="24"/>
          <w:szCs w:val="24"/>
        </w:rPr>
      </w:pPr>
      <w:r>
        <w:rPr>
          <w:rFonts w:cs="Arial"/>
          <w:b/>
          <w:sz w:val="24"/>
          <w:szCs w:val="24"/>
        </w:rPr>
        <w:t>8.5.</w:t>
      </w:r>
      <w:r>
        <w:rPr>
          <w:rFonts w:cs="Arial"/>
          <w:bCs/>
          <w:sz w:val="24"/>
          <w:szCs w:val="24"/>
        </w:rPr>
        <w:t xml:space="preserve"> As propostas classificadas serão ordenadas pelo sistema e o pregoeiro dará início à fase competitiva, oportunidade em que todos os licitantes poderão encaminhar lances exclusivamente por meio do sistema eletrônico.</w:t>
      </w:r>
    </w:p>
    <w:p w:rsidR="00CE716E" w:rsidRDefault="00CE716E" w:rsidP="00CE716E">
      <w:pPr>
        <w:tabs>
          <w:tab w:val="left" w:pos="1134"/>
        </w:tabs>
        <w:spacing w:line="360" w:lineRule="auto"/>
        <w:jc w:val="both"/>
        <w:rPr>
          <w:rFonts w:cs="Arial"/>
          <w:bCs/>
          <w:sz w:val="24"/>
          <w:szCs w:val="24"/>
        </w:rPr>
      </w:pPr>
      <w:r>
        <w:rPr>
          <w:rFonts w:cs="Arial"/>
          <w:b/>
          <w:sz w:val="24"/>
          <w:szCs w:val="24"/>
        </w:rPr>
        <w:lastRenderedPageBreak/>
        <w:t xml:space="preserve">8.6. </w:t>
      </w:r>
      <w:r>
        <w:rPr>
          <w:rFonts w:cs="Arial"/>
          <w:bCs/>
          <w:sz w:val="24"/>
          <w:szCs w:val="24"/>
        </w:rPr>
        <w:t>Somente poderão participar da fase competitiva os autores das propostas classificadas.</w:t>
      </w:r>
    </w:p>
    <w:p w:rsidR="00CE716E" w:rsidRDefault="00CE716E" w:rsidP="00CE716E">
      <w:pPr>
        <w:tabs>
          <w:tab w:val="left" w:pos="1134"/>
        </w:tabs>
        <w:spacing w:line="360" w:lineRule="auto"/>
        <w:jc w:val="both"/>
        <w:rPr>
          <w:rFonts w:cs="Arial"/>
          <w:bCs/>
          <w:sz w:val="24"/>
          <w:szCs w:val="24"/>
        </w:rPr>
      </w:pPr>
      <w:r>
        <w:rPr>
          <w:rFonts w:cs="Arial"/>
          <w:b/>
          <w:sz w:val="24"/>
          <w:szCs w:val="24"/>
        </w:rPr>
        <w:t xml:space="preserve">8.7. </w:t>
      </w:r>
      <w:r>
        <w:rPr>
          <w:rFonts w:cs="Arial"/>
          <w:sz w:val="24"/>
          <w:szCs w:val="24"/>
        </w:rPr>
        <w:t>Os licitantes poderão oferecer lances sucessivos e serão informados, em tempo real, do valor do menor lance registrado, vedada a identificação do seu autor, observando o fixado para duração da etapa competitiva</w:t>
      </w:r>
      <w:r>
        <w:rPr>
          <w:rFonts w:cs="Arial"/>
          <w:bCs/>
          <w:sz w:val="24"/>
          <w:szCs w:val="24"/>
        </w:rPr>
        <w:t>, e as seguintes regras:</w:t>
      </w:r>
    </w:p>
    <w:p w:rsidR="00CE716E" w:rsidRDefault="00CE716E" w:rsidP="00CE716E">
      <w:pPr>
        <w:tabs>
          <w:tab w:val="left" w:pos="1134"/>
        </w:tabs>
        <w:spacing w:line="360" w:lineRule="auto"/>
        <w:jc w:val="both"/>
        <w:rPr>
          <w:rFonts w:cs="Arial"/>
          <w:bCs/>
          <w:sz w:val="24"/>
          <w:szCs w:val="24"/>
        </w:rPr>
      </w:pPr>
      <w:r>
        <w:rPr>
          <w:rFonts w:cs="Arial"/>
          <w:b/>
          <w:sz w:val="24"/>
          <w:szCs w:val="24"/>
        </w:rPr>
        <w:t>8.7.1.</w:t>
      </w:r>
      <w:r>
        <w:rPr>
          <w:rFonts w:cs="Arial"/>
          <w:bCs/>
          <w:sz w:val="24"/>
          <w:szCs w:val="24"/>
        </w:rPr>
        <w:t xml:space="preserve"> O licitante será imediatamente informado do recebimento do lance e do valor consignado no registro.</w:t>
      </w:r>
    </w:p>
    <w:p w:rsidR="00CE716E" w:rsidRDefault="00CE716E" w:rsidP="00CE716E">
      <w:pPr>
        <w:tabs>
          <w:tab w:val="left" w:pos="1134"/>
        </w:tabs>
        <w:spacing w:line="360" w:lineRule="auto"/>
        <w:jc w:val="both"/>
        <w:rPr>
          <w:rFonts w:cs="Arial"/>
          <w:sz w:val="24"/>
          <w:szCs w:val="24"/>
        </w:rPr>
      </w:pPr>
      <w:r>
        <w:rPr>
          <w:rFonts w:cs="Arial"/>
          <w:b/>
          <w:bCs/>
          <w:sz w:val="24"/>
          <w:szCs w:val="24"/>
        </w:rPr>
        <w:t xml:space="preserve">8.7.2. </w:t>
      </w:r>
      <w:r>
        <w:rPr>
          <w:rFonts w:cs="Arial"/>
          <w:sz w:val="24"/>
          <w:szCs w:val="24"/>
        </w:rPr>
        <w:t>O licitante somente poderá oferecer valor inferior ao último lance por ele ofertado e registrado pelo sistema.</w:t>
      </w:r>
    </w:p>
    <w:p w:rsidR="00CE716E" w:rsidRDefault="00CE716E" w:rsidP="00CE716E">
      <w:pPr>
        <w:tabs>
          <w:tab w:val="left" w:pos="1134"/>
        </w:tabs>
        <w:spacing w:line="360" w:lineRule="auto"/>
        <w:jc w:val="both"/>
        <w:rPr>
          <w:rFonts w:cs="Arial"/>
          <w:bCs/>
          <w:sz w:val="24"/>
          <w:szCs w:val="24"/>
        </w:rPr>
      </w:pPr>
      <w:r>
        <w:rPr>
          <w:rFonts w:cs="Arial"/>
          <w:b/>
          <w:bCs/>
          <w:sz w:val="24"/>
          <w:szCs w:val="24"/>
        </w:rPr>
        <w:t xml:space="preserve">8.7.3. </w:t>
      </w:r>
      <w:r>
        <w:rPr>
          <w:rFonts w:cs="Arial"/>
          <w:sz w:val="24"/>
          <w:szCs w:val="24"/>
        </w:rPr>
        <w:t>Não serão aceitos dois ou mais lances iguais e prevalecerá aquele que for recebido e registrado primeiro.</w:t>
      </w:r>
    </w:p>
    <w:p w:rsidR="00CE716E" w:rsidRDefault="00CE716E" w:rsidP="00CE716E">
      <w:pPr>
        <w:tabs>
          <w:tab w:val="left" w:pos="1134"/>
        </w:tabs>
        <w:spacing w:line="360" w:lineRule="auto"/>
        <w:jc w:val="both"/>
        <w:rPr>
          <w:rFonts w:cs="Arial"/>
          <w:sz w:val="24"/>
          <w:szCs w:val="24"/>
        </w:rPr>
      </w:pPr>
      <w:r>
        <w:rPr>
          <w:rFonts w:cs="Arial"/>
          <w:b/>
          <w:bCs/>
          <w:sz w:val="24"/>
          <w:szCs w:val="24"/>
        </w:rPr>
        <w:t xml:space="preserve">8.7.4. </w:t>
      </w:r>
      <w:r>
        <w:rPr>
          <w:rFonts w:cs="Arial"/>
          <w:sz w:val="24"/>
          <w:szCs w:val="24"/>
        </w:rPr>
        <w:t>O intervalo mínimo de diferença de valore</w:t>
      </w:r>
      <w:r w:rsidR="008061A6">
        <w:rPr>
          <w:rFonts w:cs="Arial"/>
          <w:sz w:val="24"/>
          <w:szCs w:val="24"/>
        </w:rPr>
        <w:t>s entre os lances será de R$ 0,1</w:t>
      </w:r>
      <w:r>
        <w:rPr>
          <w:rFonts w:cs="Arial"/>
          <w:sz w:val="24"/>
          <w:szCs w:val="24"/>
        </w:rPr>
        <w:t xml:space="preserve">0 </w:t>
      </w:r>
      <w:proofErr w:type="gramStart"/>
      <w:r>
        <w:rPr>
          <w:rFonts w:cs="Arial"/>
          <w:sz w:val="24"/>
          <w:szCs w:val="24"/>
        </w:rPr>
        <w:t xml:space="preserve">( </w:t>
      </w:r>
      <w:r w:rsidR="008061A6">
        <w:rPr>
          <w:rFonts w:cs="Arial"/>
          <w:sz w:val="24"/>
          <w:szCs w:val="24"/>
        </w:rPr>
        <w:t>dez</w:t>
      </w:r>
      <w:proofErr w:type="gramEnd"/>
      <w:r>
        <w:rPr>
          <w:rFonts w:cs="Arial"/>
          <w:sz w:val="24"/>
          <w:szCs w:val="24"/>
        </w:rPr>
        <w:t xml:space="preserve"> centavos ), que incidirá tanto em relação aos lances intermediários, quanto em relação do lance que cobrir a melhor oferta.</w:t>
      </w:r>
    </w:p>
    <w:p w:rsidR="00CE716E" w:rsidRDefault="00CE716E" w:rsidP="00CE716E">
      <w:pPr>
        <w:pStyle w:val="NormalWeb"/>
        <w:spacing w:before="0" w:beforeAutospacing="0" w:after="0" w:afterAutospacing="0" w:line="360" w:lineRule="auto"/>
        <w:jc w:val="both"/>
        <w:rPr>
          <w:rFonts w:ascii="Arial" w:hAnsi="Arial" w:cs="Arial"/>
        </w:rPr>
      </w:pPr>
      <w:r>
        <w:rPr>
          <w:rFonts w:ascii="Arial" w:hAnsi="Arial" w:cs="Arial"/>
          <w:b/>
          <w:bCs/>
        </w:rPr>
        <w:t xml:space="preserve">8.7.5. </w:t>
      </w:r>
      <w:r>
        <w:rPr>
          <w:rFonts w:ascii="Arial" w:hAnsi="Arial" w:cs="Arial"/>
        </w:rPr>
        <w:t>Serão considerados intermediários os lances iguais ou superiores ao menor já ofertado.</w:t>
      </w:r>
    </w:p>
    <w:p w:rsidR="00CE716E" w:rsidRDefault="00CE716E" w:rsidP="00CE716E">
      <w:pPr>
        <w:pStyle w:val="NormalWeb"/>
        <w:spacing w:before="0" w:beforeAutospacing="0" w:after="0" w:afterAutospacing="0" w:line="360" w:lineRule="auto"/>
        <w:jc w:val="both"/>
        <w:rPr>
          <w:rFonts w:ascii="Arial" w:hAnsi="Arial" w:cs="Arial"/>
        </w:rPr>
      </w:pPr>
      <w:bookmarkStart w:id="17" w:name="art56§3ii"/>
      <w:bookmarkEnd w:id="17"/>
      <w:r>
        <w:rPr>
          <w:rFonts w:ascii="Arial" w:hAnsi="Arial" w:cs="Arial"/>
          <w:b/>
          <w:bCs/>
        </w:rPr>
        <w:t>8.7.6.</w:t>
      </w:r>
      <w:r>
        <w:rPr>
          <w:rFonts w:ascii="Arial" w:hAnsi="Arial" w:cs="Arial"/>
        </w:rPr>
        <w:t xml:space="preserve"> Após a definição da melhor proposta, se a diferença em relação à proposta classificada em segundo lugar for de pelo menos 5% (cinco por cento), a Administração poderá admitir o reinício da disputa aberta, para a definição das demais colocações.</w:t>
      </w:r>
    </w:p>
    <w:p w:rsidR="00CE716E" w:rsidRDefault="00CE716E" w:rsidP="00CE716E">
      <w:pPr>
        <w:pStyle w:val="NormalWeb"/>
        <w:spacing w:before="0" w:beforeAutospacing="0" w:after="0" w:afterAutospacing="0" w:line="360" w:lineRule="auto"/>
        <w:jc w:val="both"/>
        <w:rPr>
          <w:rFonts w:ascii="Arial" w:hAnsi="Arial" w:cs="Arial"/>
        </w:rPr>
      </w:pPr>
      <w:r>
        <w:rPr>
          <w:rFonts w:ascii="Arial" w:hAnsi="Arial" w:cs="Arial"/>
          <w:b/>
          <w:bCs/>
        </w:rPr>
        <w:t>8.8.</w:t>
      </w:r>
      <w:r>
        <w:rPr>
          <w:rFonts w:ascii="Arial" w:hAnsi="Arial" w:cs="Arial"/>
        </w:rPr>
        <w:t xml:space="preserve"> A Administração poderá realizar diligências para aferir a exequibilidade das propostas ou exigir dos licitantes que ela seja demonstrada.</w:t>
      </w:r>
      <w:bookmarkStart w:id="18" w:name="art58§4"/>
      <w:bookmarkEnd w:id="18"/>
    </w:p>
    <w:p w:rsidR="00CE716E" w:rsidRDefault="00CE716E" w:rsidP="00CE716E">
      <w:pPr>
        <w:pStyle w:val="NormalWeb"/>
        <w:spacing w:before="0" w:beforeAutospacing="0" w:after="0" w:afterAutospacing="0" w:line="360" w:lineRule="auto"/>
        <w:jc w:val="both"/>
        <w:rPr>
          <w:rFonts w:ascii="Arial" w:hAnsi="Arial" w:cs="Arial"/>
        </w:rPr>
      </w:pPr>
      <w:r>
        <w:rPr>
          <w:rFonts w:ascii="Arial" w:hAnsi="Arial" w:cs="Arial"/>
          <w:b/>
          <w:bCs/>
        </w:rPr>
        <w:t xml:space="preserve">8.9. </w:t>
      </w:r>
      <w:r>
        <w:rPr>
          <w:rFonts w:ascii="Arial" w:hAnsi="Arial" w:cs="Arial"/>
        </w:rPr>
        <w:t xml:space="preserve">O valor da proposta será reajustado </w:t>
      </w:r>
      <w:proofErr w:type="gramStart"/>
      <w:r>
        <w:rPr>
          <w:rFonts w:ascii="Arial" w:hAnsi="Arial" w:cs="Arial"/>
        </w:rPr>
        <w:t>pelo(</w:t>
      </w:r>
      <w:proofErr w:type="gramEnd"/>
      <w:r>
        <w:rPr>
          <w:rFonts w:ascii="Arial" w:hAnsi="Arial" w:cs="Arial"/>
        </w:rPr>
        <w:t>s) índice(s) IPCA com data-base vinculada à data do orçamento estimado.</w:t>
      </w:r>
    </w:p>
    <w:p w:rsidR="00CE716E" w:rsidRDefault="00CE716E" w:rsidP="00CE716E">
      <w:pPr>
        <w:pStyle w:val="NormalWeb"/>
        <w:spacing w:before="0" w:beforeAutospacing="0" w:after="0" w:afterAutospacing="0" w:line="360" w:lineRule="auto"/>
        <w:jc w:val="both"/>
        <w:rPr>
          <w:rFonts w:ascii="Arial" w:hAnsi="Arial" w:cs="Arial"/>
          <w:b/>
          <w:sz w:val="22"/>
          <w:szCs w:val="22"/>
        </w:rPr>
      </w:pPr>
    </w:p>
    <w:p w:rsidR="00CE716E" w:rsidRDefault="00CE716E" w:rsidP="00CE716E">
      <w:pPr>
        <w:tabs>
          <w:tab w:val="left" w:pos="1134"/>
        </w:tabs>
        <w:spacing w:line="360" w:lineRule="auto"/>
        <w:jc w:val="both"/>
        <w:rPr>
          <w:rFonts w:cs="Arial"/>
          <w:b/>
          <w:sz w:val="24"/>
          <w:szCs w:val="24"/>
        </w:rPr>
      </w:pPr>
      <w:r>
        <w:rPr>
          <w:rFonts w:cs="Arial"/>
          <w:b/>
          <w:sz w:val="24"/>
          <w:szCs w:val="24"/>
        </w:rPr>
        <w:t>9. MODO DE DISPUTA</w:t>
      </w:r>
    </w:p>
    <w:p w:rsidR="00CE716E" w:rsidRDefault="00CE716E" w:rsidP="00CE716E">
      <w:pPr>
        <w:tabs>
          <w:tab w:val="left" w:pos="1134"/>
        </w:tabs>
        <w:spacing w:line="360" w:lineRule="auto"/>
        <w:jc w:val="both"/>
        <w:rPr>
          <w:rFonts w:cs="Arial"/>
          <w:bCs/>
          <w:sz w:val="24"/>
          <w:szCs w:val="24"/>
        </w:rPr>
      </w:pPr>
      <w:r>
        <w:rPr>
          <w:rFonts w:cs="Arial"/>
          <w:b/>
          <w:sz w:val="24"/>
          <w:szCs w:val="24"/>
        </w:rPr>
        <w:t xml:space="preserve">9.1. </w:t>
      </w:r>
      <w:r>
        <w:rPr>
          <w:rFonts w:cs="Arial"/>
          <w:bCs/>
          <w:sz w:val="24"/>
          <w:szCs w:val="24"/>
        </w:rPr>
        <w:t>Será adotado o modo de disputa aberto, em que os licitantes apresentarão lances públicos e sucessivos, observando as regras constantes no item 7.</w:t>
      </w:r>
    </w:p>
    <w:p w:rsidR="00CE716E" w:rsidRDefault="00CE716E" w:rsidP="00CE716E">
      <w:pPr>
        <w:spacing w:line="360" w:lineRule="auto"/>
        <w:jc w:val="both"/>
        <w:rPr>
          <w:rFonts w:cs="Arial"/>
          <w:sz w:val="24"/>
          <w:szCs w:val="24"/>
        </w:rPr>
      </w:pPr>
      <w:r>
        <w:rPr>
          <w:rFonts w:cs="Arial"/>
          <w:b/>
          <w:sz w:val="24"/>
          <w:szCs w:val="24"/>
        </w:rPr>
        <w:lastRenderedPageBreak/>
        <w:t xml:space="preserve">9.2. </w:t>
      </w:r>
      <w:r>
        <w:rPr>
          <w:rFonts w:cs="Arial"/>
          <w:bCs/>
          <w:sz w:val="24"/>
          <w:szCs w:val="24"/>
        </w:rPr>
        <w:t xml:space="preserve">A etapa competitiva de envio de lances na sessão pública </w:t>
      </w:r>
      <w:r>
        <w:rPr>
          <w:rFonts w:cs="Arial"/>
          <w:sz w:val="24"/>
          <w:szCs w:val="24"/>
        </w:rPr>
        <w:t xml:space="preserve">durará 10 (dez) minutos e, após isso, será prorrogada automaticamente pelo sistema quando houver lance ofertado nos últimos 02 </w:t>
      </w:r>
      <w:proofErr w:type="gramStart"/>
      <w:r>
        <w:rPr>
          <w:rFonts w:cs="Arial"/>
          <w:sz w:val="24"/>
          <w:szCs w:val="24"/>
        </w:rPr>
        <w:t>( dois</w:t>
      </w:r>
      <w:proofErr w:type="gramEnd"/>
      <w:r>
        <w:rPr>
          <w:rFonts w:cs="Arial"/>
          <w:sz w:val="24"/>
          <w:szCs w:val="24"/>
        </w:rPr>
        <w:t xml:space="preserve">  ) minutos do período de duração da sessão pública.</w:t>
      </w:r>
    </w:p>
    <w:p w:rsidR="00CE716E" w:rsidRDefault="00CE716E" w:rsidP="00CE716E">
      <w:pPr>
        <w:tabs>
          <w:tab w:val="left" w:pos="1134"/>
        </w:tabs>
        <w:spacing w:line="360" w:lineRule="auto"/>
        <w:jc w:val="both"/>
        <w:rPr>
          <w:rFonts w:cs="Arial"/>
          <w:sz w:val="24"/>
          <w:szCs w:val="24"/>
        </w:rPr>
      </w:pPr>
      <w:r>
        <w:rPr>
          <w:rFonts w:cs="Arial"/>
          <w:b/>
          <w:sz w:val="24"/>
          <w:szCs w:val="24"/>
        </w:rPr>
        <w:t xml:space="preserve">9.3. </w:t>
      </w:r>
      <w:r>
        <w:rPr>
          <w:rFonts w:cs="Arial"/>
          <w:sz w:val="24"/>
          <w:szCs w:val="24"/>
        </w:rPr>
        <w:t xml:space="preserve">A prorrogação automática da etapa de envio de lances será de 02 </w:t>
      </w:r>
      <w:proofErr w:type="gramStart"/>
      <w:r>
        <w:rPr>
          <w:rFonts w:cs="Arial"/>
          <w:sz w:val="24"/>
          <w:szCs w:val="24"/>
        </w:rPr>
        <w:t>( dois</w:t>
      </w:r>
      <w:proofErr w:type="gramEnd"/>
      <w:r>
        <w:rPr>
          <w:rFonts w:cs="Arial"/>
          <w:sz w:val="24"/>
          <w:szCs w:val="24"/>
        </w:rPr>
        <w:t xml:space="preserve">  ) minutos e ocorrerá sucessivamente sempre que houver lances enviados nesse período de prorrogação, inclusive quando se tratar de lances intermediários.</w:t>
      </w:r>
    </w:p>
    <w:p w:rsidR="00CE716E" w:rsidRDefault="00CE716E" w:rsidP="00CE716E">
      <w:pPr>
        <w:tabs>
          <w:tab w:val="left" w:pos="1134"/>
        </w:tabs>
        <w:spacing w:line="360" w:lineRule="auto"/>
        <w:jc w:val="both"/>
        <w:rPr>
          <w:rFonts w:cs="Arial"/>
          <w:sz w:val="24"/>
          <w:szCs w:val="24"/>
        </w:rPr>
      </w:pPr>
      <w:r>
        <w:rPr>
          <w:rFonts w:cs="Arial"/>
          <w:b/>
          <w:bCs/>
          <w:sz w:val="24"/>
          <w:szCs w:val="24"/>
        </w:rPr>
        <w:t xml:space="preserve">9.4. </w:t>
      </w:r>
      <w:r>
        <w:rPr>
          <w:rFonts w:cs="Arial"/>
          <w:sz w:val="24"/>
          <w:szCs w:val="24"/>
        </w:rPr>
        <w:t>Na hipótese de não haver novos lances, a sessão pública será encerrada automaticamente.</w:t>
      </w:r>
    </w:p>
    <w:p w:rsidR="00CE716E" w:rsidRDefault="00CE716E" w:rsidP="00CE716E">
      <w:pPr>
        <w:tabs>
          <w:tab w:val="left" w:pos="1134"/>
        </w:tabs>
        <w:spacing w:line="360" w:lineRule="auto"/>
        <w:jc w:val="both"/>
        <w:rPr>
          <w:rFonts w:cs="Arial"/>
          <w:bCs/>
          <w:sz w:val="24"/>
          <w:szCs w:val="24"/>
        </w:rPr>
      </w:pPr>
      <w:r>
        <w:rPr>
          <w:rFonts w:cs="Arial"/>
          <w:b/>
          <w:bCs/>
          <w:sz w:val="24"/>
          <w:szCs w:val="24"/>
        </w:rPr>
        <w:t>9.5.</w:t>
      </w:r>
      <w:r>
        <w:rPr>
          <w:rFonts w:cs="Arial"/>
          <w:sz w:val="24"/>
          <w:szCs w:val="24"/>
        </w:rPr>
        <w:t xml:space="preserve"> Encerrada a sessão pública sem prorrogação automática pelo sistema, o pregoeiro poderá, assessorado pela equipe de apoio, admitir o reinício da etapa de envio de lances, em prol da consecução do melhor preço, se a diferença em relação à proposta classificada em segundo lugar for de pelo menos 5%.</w:t>
      </w:r>
    </w:p>
    <w:p w:rsidR="00CE716E" w:rsidRDefault="00CE716E" w:rsidP="00CE716E">
      <w:pPr>
        <w:tabs>
          <w:tab w:val="left" w:pos="1134"/>
        </w:tabs>
        <w:spacing w:line="360" w:lineRule="auto"/>
        <w:jc w:val="both"/>
        <w:rPr>
          <w:rFonts w:cs="Arial"/>
          <w:sz w:val="24"/>
          <w:szCs w:val="24"/>
        </w:rPr>
      </w:pPr>
      <w:r>
        <w:rPr>
          <w:rFonts w:cs="Arial"/>
          <w:b/>
          <w:sz w:val="24"/>
          <w:szCs w:val="24"/>
        </w:rPr>
        <w:t xml:space="preserve">9.6. </w:t>
      </w:r>
      <w:r>
        <w:rPr>
          <w:rFonts w:cs="Arial"/>
          <w:sz w:val="24"/>
          <w:szCs w:val="24"/>
        </w:rPr>
        <w:t>Na hipótese de o sistema eletrônico desconectar para o pregoeiro no decorrer da etapa de envio de lances da sessão pública e permanecer acessível aos licitantes, os lances continuarão sendo recebidos, sem prejuízo dos atos realizados.</w:t>
      </w:r>
    </w:p>
    <w:p w:rsidR="00CE716E" w:rsidRDefault="00CE716E" w:rsidP="00CE716E">
      <w:pPr>
        <w:tabs>
          <w:tab w:val="left" w:pos="1134"/>
        </w:tabs>
        <w:spacing w:line="360" w:lineRule="auto"/>
        <w:jc w:val="both"/>
        <w:rPr>
          <w:rFonts w:cs="Arial"/>
          <w:sz w:val="24"/>
          <w:szCs w:val="24"/>
        </w:rPr>
      </w:pPr>
      <w:r>
        <w:rPr>
          <w:rFonts w:cs="Arial"/>
          <w:b/>
          <w:bCs/>
          <w:sz w:val="24"/>
          <w:szCs w:val="24"/>
        </w:rPr>
        <w:t xml:space="preserve">9.7. </w:t>
      </w:r>
      <w:r>
        <w:rPr>
          <w:rFonts w:cs="Arial"/>
          <w:sz w:val="24"/>
          <w:szCs w:val="24"/>
        </w:rPr>
        <w:t xml:space="preserve">Quando a desconexão do sistema eletrônico para o pregoeiro persistir por tempo superior a 30 </w:t>
      </w:r>
      <w:proofErr w:type="gramStart"/>
      <w:r>
        <w:rPr>
          <w:rFonts w:cs="Arial"/>
          <w:sz w:val="24"/>
          <w:szCs w:val="24"/>
        </w:rPr>
        <w:t>( trinta</w:t>
      </w:r>
      <w:proofErr w:type="gramEnd"/>
      <w:r>
        <w:rPr>
          <w:rFonts w:cs="Arial"/>
          <w:sz w:val="24"/>
          <w:szCs w:val="24"/>
        </w:rPr>
        <w:t xml:space="preserve"> ) minutos, a sessão pública será suspensa e reiniciada somente decorridas 24 (vinte e quatro) horas após a comunicação do fato aos participantes, no mesmo endereço eletrônico que ocorreu a sessão.</w:t>
      </w:r>
    </w:p>
    <w:p w:rsidR="00CE716E" w:rsidRDefault="00CE716E" w:rsidP="00CE716E">
      <w:pPr>
        <w:tabs>
          <w:tab w:val="left" w:pos="1134"/>
        </w:tabs>
        <w:spacing w:line="360" w:lineRule="auto"/>
        <w:jc w:val="both"/>
        <w:rPr>
          <w:rFonts w:cs="Arial"/>
          <w:sz w:val="24"/>
          <w:szCs w:val="24"/>
        </w:rPr>
      </w:pPr>
    </w:p>
    <w:p w:rsidR="00CE716E" w:rsidRDefault="00CE716E" w:rsidP="00CE716E">
      <w:pPr>
        <w:tabs>
          <w:tab w:val="left" w:pos="1134"/>
        </w:tabs>
        <w:spacing w:line="360" w:lineRule="auto"/>
        <w:jc w:val="both"/>
        <w:rPr>
          <w:rFonts w:cs="Arial"/>
          <w:b/>
          <w:sz w:val="24"/>
          <w:szCs w:val="24"/>
        </w:rPr>
      </w:pPr>
      <w:r>
        <w:rPr>
          <w:rFonts w:cs="Arial"/>
          <w:b/>
          <w:sz w:val="24"/>
          <w:szCs w:val="24"/>
        </w:rPr>
        <w:t>10. CRITÉRIOS DE DESEMPATE</w:t>
      </w:r>
    </w:p>
    <w:p w:rsidR="00CE716E" w:rsidRDefault="00CE716E" w:rsidP="00CE716E">
      <w:pPr>
        <w:tabs>
          <w:tab w:val="left" w:pos="1134"/>
        </w:tabs>
        <w:spacing w:line="360" w:lineRule="auto"/>
        <w:jc w:val="both"/>
        <w:rPr>
          <w:rFonts w:cs="Arial"/>
          <w:sz w:val="24"/>
          <w:szCs w:val="24"/>
        </w:rPr>
      </w:pPr>
      <w:r>
        <w:rPr>
          <w:rFonts w:cs="Arial"/>
          <w:b/>
          <w:bCs/>
          <w:sz w:val="24"/>
          <w:szCs w:val="24"/>
        </w:rPr>
        <w:t xml:space="preserve">10.1. </w:t>
      </w:r>
      <w:r>
        <w:rPr>
          <w:rFonts w:cs="Arial"/>
          <w:sz w:val="24"/>
          <w:szCs w:val="24"/>
        </w:rPr>
        <w:t xml:space="preserve">Encerrada etapa de envio de lances, será apurada a ocorrência de empate, nos termos dos </w:t>
      </w:r>
      <w:proofErr w:type="spellStart"/>
      <w:r>
        <w:rPr>
          <w:rFonts w:cs="Arial"/>
          <w:sz w:val="24"/>
          <w:szCs w:val="24"/>
        </w:rPr>
        <w:t>arts</w:t>
      </w:r>
      <w:proofErr w:type="spellEnd"/>
      <w:r>
        <w:rPr>
          <w:rFonts w:cs="Arial"/>
          <w:sz w:val="24"/>
          <w:szCs w:val="24"/>
        </w:rPr>
        <w:t>. 44 e 45 da Lei Complementar nº 123/2006, sendo assegurada, como critério do desempate, preferência de contratação para as beneficiárias que tiverem apresentado as declarações de que tratam os itens 3.2.3 e 3.2.4 deste Edital;</w:t>
      </w:r>
    </w:p>
    <w:p w:rsidR="00CE716E" w:rsidRDefault="00CE716E" w:rsidP="00CE716E">
      <w:pPr>
        <w:tabs>
          <w:tab w:val="left" w:pos="1134"/>
        </w:tabs>
        <w:spacing w:line="360" w:lineRule="auto"/>
        <w:jc w:val="both"/>
        <w:rPr>
          <w:rFonts w:cs="Arial"/>
          <w:sz w:val="24"/>
          <w:szCs w:val="24"/>
        </w:rPr>
      </w:pPr>
      <w:r>
        <w:rPr>
          <w:rFonts w:cs="Arial"/>
          <w:b/>
          <w:bCs/>
          <w:sz w:val="24"/>
          <w:szCs w:val="24"/>
        </w:rPr>
        <w:lastRenderedPageBreak/>
        <w:t xml:space="preserve">10.1.2. </w:t>
      </w:r>
      <w:r>
        <w:rPr>
          <w:rFonts w:cs="Arial"/>
          <w:sz w:val="24"/>
          <w:szCs w:val="24"/>
        </w:rPr>
        <w:t>Entende-se como empate, para fins da Lei Complementar nº 123/2006, aquelas situações em que as propostas apresentadas pelas beneficiárias sejam iguais ou superiores em até 5% (cinco por cento) à proposta de menor valor.</w:t>
      </w:r>
    </w:p>
    <w:p w:rsidR="00CE716E" w:rsidRDefault="00CE716E" w:rsidP="00CE716E">
      <w:pPr>
        <w:tabs>
          <w:tab w:val="left" w:pos="1134"/>
        </w:tabs>
        <w:spacing w:line="360" w:lineRule="auto"/>
        <w:jc w:val="both"/>
        <w:rPr>
          <w:rFonts w:cs="Arial"/>
          <w:sz w:val="24"/>
          <w:szCs w:val="24"/>
        </w:rPr>
      </w:pPr>
      <w:r>
        <w:rPr>
          <w:rFonts w:cs="Arial"/>
          <w:b/>
          <w:sz w:val="24"/>
          <w:szCs w:val="24"/>
        </w:rPr>
        <w:t xml:space="preserve">10.1.3. </w:t>
      </w:r>
      <w:r>
        <w:rPr>
          <w:rFonts w:cs="Arial"/>
          <w:sz w:val="24"/>
          <w:szCs w:val="24"/>
        </w:rPr>
        <w:t>Ocorrendo o empate, na forma do subitem anterior, proceder-se-á da seguinte forma:</w:t>
      </w:r>
    </w:p>
    <w:p w:rsidR="00CE716E" w:rsidRDefault="00CE716E" w:rsidP="00CE716E">
      <w:pPr>
        <w:tabs>
          <w:tab w:val="left" w:pos="1134"/>
        </w:tabs>
        <w:spacing w:line="360" w:lineRule="auto"/>
        <w:jc w:val="both"/>
        <w:rPr>
          <w:rFonts w:cs="Arial"/>
          <w:sz w:val="24"/>
          <w:szCs w:val="24"/>
        </w:rPr>
      </w:pPr>
      <w:r>
        <w:rPr>
          <w:rFonts w:cs="Arial"/>
          <w:b/>
          <w:sz w:val="24"/>
          <w:szCs w:val="24"/>
        </w:rPr>
        <w:t xml:space="preserve">a) </w:t>
      </w:r>
      <w:r>
        <w:rPr>
          <w:rFonts w:cs="Arial"/>
          <w:sz w:val="24"/>
          <w:szCs w:val="24"/>
        </w:rPr>
        <w:t>A beneficiária detentora da proposta de menor valor será convocada via sistema para apresentar, no prazo de 5 (cinco) minutos, nova proposta, inferior àquela considerada, até então, de menor preço, situação em que será declarada vencedora do certame.</w:t>
      </w:r>
    </w:p>
    <w:p w:rsidR="00CE716E" w:rsidRDefault="00CE716E" w:rsidP="00CE716E">
      <w:pPr>
        <w:tabs>
          <w:tab w:val="left" w:pos="1134"/>
        </w:tabs>
        <w:spacing w:line="360" w:lineRule="auto"/>
        <w:jc w:val="both"/>
        <w:rPr>
          <w:rFonts w:cs="Arial"/>
          <w:sz w:val="24"/>
          <w:szCs w:val="24"/>
        </w:rPr>
      </w:pPr>
      <w:proofErr w:type="gramStart"/>
      <w:r>
        <w:rPr>
          <w:rFonts w:cs="Arial"/>
          <w:b/>
          <w:sz w:val="24"/>
          <w:szCs w:val="24"/>
        </w:rPr>
        <w:t xml:space="preserve">b) </w:t>
      </w:r>
      <w:r>
        <w:rPr>
          <w:rFonts w:cs="Arial"/>
          <w:sz w:val="24"/>
          <w:szCs w:val="24"/>
        </w:rPr>
        <w:t>Se</w:t>
      </w:r>
      <w:proofErr w:type="gramEnd"/>
      <w:r>
        <w:rPr>
          <w:rFonts w:cs="Arial"/>
          <w:sz w:val="24"/>
          <w:szCs w:val="24"/>
        </w:rPr>
        <w:t xml:space="preserve"> a beneficiária, convocada na forma da alínea anterior, não apresentar nova proposta, inferior à de menor preço, será facultada, pela ordem de classificação, às demais microempresas, empresas de pequeno porte ou cooperativas remanescentes, que se enquadrarem na hipótese do item 10.1. </w:t>
      </w:r>
      <w:proofErr w:type="gramStart"/>
      <w:r>
        <w:rPr>
          <w:rFonts w:cs="Arial"/>
          <w:sz w:val="24"/>
          <w:szCs w:val="24"/>
        </w:rPr>
        <w:t>deste</w:t>
      </w:r>
      <w:proofErr w:type="gramEnd"/>
      <w:r>
        <w:rPr>
          <w:rFonts w:cs="Arial"/>
          <w:sz w:val="24"/>
          <w:szCs w:val="24"/>
        </w:rPr>
        <w:t xml:space="preserve"> edital, a apresentação de nova proposta, no prazo previsto na alínea “a” deste item.</w:t>
      </w:r>
    </w:p>
    <w:p w:rsidR="00CE716E" w:rsidRDefault="00CE716E" w:rsidP="00CE716E">
      <w:pPr>
        <w:tabs>
          <w:tab w:val="left" w:pos="1134"/>
        </w:tabs>
        <w:spacing w:line="360" w:lineRule="auto"/>
        <w:jc w:val="both"/>
        <w:rPr>
          <w:rFonts w:cs="Arial"/>
          <w:sz w:val="24"/>
          <w:szCs w:val="24"/>
        </w:rPr>
      </w:pPr>
      <w:r>
        <w:rPr>
          <w:rFonts w:cs="Arial"/>
          <w:b/>
          <w:sz w:val="24"/>
          <w:szCs w:val="24"/>
        </w:rPr>
        <w:t>10.1.4.</w:t>
      </w:r>
      <w:r>
        <w:rPr>
          <w:rFonts w:cs="Arial"/>
          <w:sz w:val="24"/>
          <w:szCs w:val="24"/>
        </w:rPr>
        <w:t xml:space="preserve"> O disposto no item 10.1.2. </w:t>
      </w:r>
      <w:proofErr w:type="gramStart"/>
      <w:r>
        <w:rPr>
          <w:rFonts w:cs="Arial"/>
          <w:sz w:val="24"/>
          <w:szCs w:val="24"/>
        </w:rPr>
        <w:t>não</w:t>
      </w:r>
      <w:proofErr w:type="gramEnd"/>
      <w:r>
        <w:rPr>
          <w:rFonts w:cs="Arial"/>
          <w:sz w:val="24"/>
          <w:szCs w:val="24"/>
        </w:rPr>
        <w:t xml:space="preserve"> se aplica às hipóteses em que a proposta de menor valor inicial tiver sido apresentado por beneficiária da LC nº 123/2006.</w:t>
      </w:r>
    </w:p>
    <w:p w:rsidR="00CE716E" w:rsidRDefault="00CE716E" w:rsidP="00CE716E">
      <w:pPr>
        <w:pStyle w:val="NormalWeb"/>
        <w:spacing w:before="0" w:beforeAutospacing="0" w:after="0" w:afterAutospacing="0" w:line="360" w:lineRule="auto"/>
        <w:jc w:val="both"/>
        <w:rPr>
          <w:rFonts w:ascii="Arial" w:hAnsi="Arial" w:cs="Arial"/>
        </w:rPr>
      </w:pPr>
      <w:r>
        <w:rPr>
          <w:rFonts w:ascii="Arial" w:hAnsi="Arial" w:cs="Arial"/>
          <w:b/>
          <w:bCs/>
        </w:rPr>
        <w:t xml:space="preserve">10.2. </w:t>
      </w:r>
      <w:r>
        <w:rPr>
          <w:rFonts w:ascii="Arial" w:hAnsi="Arial" w:cs="Arial"/>
        </w:rPr>
        <w:t>Se não houver licitante que atenda ao item 10.1 e seus subitens, serão utilizados os seguintes critérios de desempate, nesta ordem</w:t>
      </w:r>
      <w:r>
        <w:rPr>
          <w:rStyle w:val="Refdenotaderodap"/>
          <w:rFonts w:ascii="Arial" w:eastAsiaTheme="majorEastAsia" w:hAnsi="Arial" w:cs="Arial"/>
        </w:rPr>
        <w:footnoteReference w:id="6"/>
      </w:r>
      <w:r>
        <w:rPr>
          <w:rFonts w:ascii="Arial" w:hAnsi="Arial" w:cs="Arial"/>
        </w:rPr>
        <w:t>:</w:t>
      </w:r>
    </w:p>
    <w:p w:rsidR="00CE716E" w:rsidRDefault="00CE716E" w:rsidP="00CE716E">
      <w:pPr>
        <w:pStyle w:val="NormalWeb"/>
        <w:spacing w:before="0" w:beforeAutospacing="0" w:after="0" w:afterAutospacing="0" w:line="360" w:lineRule="auto"/>
        <w:jc w:val="both"/>
        <w:rPr>
          <w:rFonts w:ascii="Arial" w:hAnsi="Arial" w:cs="Arial"/>
        </w:rPr>
      </w:pPr>
      <w:bookmarkStart w:id="19" w:name="art60i"/>
      <w:bookmarkEnd w:id="19"/>
      <w:r>
        <w:rPr>
          <w:rFonts w:ascii="Arial" w:hAnsi="Arial" w:cs="Arial"/>
          <w:b/>
          <w:bCs/>
        </w:rPr>
        <w:t>a)</w:t>
      </w:r>
      <w:r>
        <w:rPr>
          <w:rFonts w:ascii="Arial" w:hAnsi="Arial" w:cs="Arial"/>
        </w:rPr>
        <w:t xml:space="preserve"> disputa final, hipótese em que os licitantes empatados poderão apresentar nova proposta em ato contínuo à classificação;</w:t>
      </w:r>
    </w:p>
    <w:p w:rsidR="00CE716E" w:rsidRDefault="00CE716E" w:rsidP="00CE716E">
      <w:pPr>
        <w:pStyle w:val="NormalWeb"/>
        <w:spacing w:before="0" w:beforeAutospacing="0" w:after="0" w:afterAutospacing="0" w:line="360" w:lineRule="auto"/>
        <w:jc w:val="both"/>
        <w:rPr>
          <w:rFonts w:ascii="Arial" w:hAnsi="Arial" w:cs="Arial"/>
        </w:rPr>
      </w:pPr>
      <w:bookmarkStart w:id="20" w:name="art60ii"/>
      <w:bookmarkEnd w:id="20"/>
      <w:r>
        <w:rPr>
          <w:rFonts w:ascii="Arial" w:hAnsi="Arial" w:cs="Arial"/>
          <w:b/>
          <w:bCs/>
        </w:rPr>
        <w:t>b)</w:t>
      </w:r>
      <w:r>
        <w:rPr>
          <w:rFonts w:ascii="Arial" w:hAnsi="Arial" w:cs="Arial"/>
        </w:rPr>
        <w:t xml:space="preserve"> avaliação do desempenho contratual prévio dos licitantes, para a qual serão ser utilizados registros cadastrais para efeito de atesto de cumprimento de obrigações decorrentes de outras contratações;</w:t>
      </w:r>
    </w:p>
    <w:p w:rsidR="00CE716E" w:rsidRDefault="00CE716E" w:rsidP="00CE716E">
      <w:pPr>
        <w:pStyle w:val="NormalWeb"/>
        <w:spacing w:before="0" w:beforeAutospacing="0" w:after="0" w:afterAutospacing="0" w:line="360" w:lineRule="auto"/>
        <w:jc w:val="both"/>
        <w:rPr>
          <w:rFonts w:ascii="Arial" w:hAnsi="Arial" w:cs="Arial"/>
        </w:rPr>
      </w:pPr>
      <w:bookmarkStart w:id="21" w:name="art60iii"/>
      <w:bookmarkEnd w:id="21"/>
      <w:r>
        <w:rPr>
          <w:rFonts w:ascii="Arial" w:hAnsi="Arial" w:cs="Arial"/>
          <w:b/>
          <w:bCs/>
        </w:rPr>
        <w:t>c)</w:t>
      </w:r>
      <w:r>
        <w:rPr>
          <w:rFonts w:ascii="Arial" w:hAnsi="Arial" w:cs="Arial"/>
        </w:rPr>
        <w:t xml:space="preserve"> desenvolvimento pelo licitante de ações de equidade entre homens e mulheres no ambiente de trabalho, conforme regulamento (SE HOUVER);</w:t>
      </w:r>
    </w:p>
    <w:p w:rsidR="00CE716E" w:rsidRDefault="00CE716E" w:rsidP="00CE716E">
      <w:pPr>
        <w:pStyle w:val="NormalWeb"/>
        <w:spacing w:before="0" w:beforeAutospacing="0" w:after="0" w:afterAutospacing="0" w:line="360" w:lineRule="auto"/>
        <w:jc w:val="both"/>
        <w:rPr>
          <w:rFonts w:ascii="Arial" w:hAnsi="Arial" w:cs="Arial"/>
        </w:rPr>
      </w:pPr>
      <w:bookmarkStart w:id="22" w:name="art60iv"/>
      <w:bookmarkEnd w:id="22"/>
      <w:r>
        <w:rPr>
          <w:rFonts w:ascii="Arial" w:hAnsi="Arial" w:cs="Arial"/>
          <w:b/>
          <w:bCs/>
        </w:rPr>
        <w:t>d)</w:t>
      </w:r>
      <w:r>
        <w:rPr>
          <w:rFonts w:ascii="Arial" w:hAnsi="Arial" w:cs="Arial"/>
        </w:rPr>
        <w:t xml:space="preserve"> desenvolvimento pelo licitante de programa de integridade, conforme orientações dos órgãos de controle.</w:t>
      </w:r>
    </w:p>
    <w:p w:rsidR="00CE716E" w:rsidRDefault="00CE716E" w:rsidP="00CE716E">
      <w:pPr>
        <w:pStyle w:val="NormalWeb"/>
        <w:spacing w:before="0" w:beforeAutospacing="0" w:after="0" w:afterAutospacing="0" w:line="360" w:lineRule="auto"/>
        <w:jc w:val="both"/>
        <w:rPr>
          <w:rFonts w:ascii="Arial" w:hAnsi="Arial" w:cs="Arial"/>
        </w:rPr>
      </w:pPr>
      <w:bookmarkStart w:id="23" w:name="art60§1"/>
      <w:bookmarkEnd w:id="23"/>
      <w:proofErr w:type="gramStart"/>
      <w:r>
        <w:rPr>
          <w:rFonts w:ascii="Arial" w:hAnsi="Arial" w:cs="Arial"/>
          <w:b/>
          <w:bCs/>
        </w:rPr>
        <w:lastRenderedPageBreak/>
        <w:t>10.3</w:t>
      </w:r>
      <w:r>
        <w:rPr>
          <w:rFonts w:ascii="Arial" w:hAnsi="Arial" w:cs="Arial"/>
        </w:rPr>
        <w:t xml:space="preserve"> Em</w:t>
      </w:r>
      <w:proofErr w:type="gramEnd"/>
      <w:r>
        <w:rPr>
          <w:rFonts w:ascii="Arial" w:hAnsi="Arial" w:cs="Arial"/>
        </w:rPr>
        <w:t xml:space="preserve"> igualdade de condições, se não houver desempate, será assegurada preferência, sucessivamente, aos bens e serviços produzidos ou prestados por:</w:t>
      </w:r>
    </w:p>
    <w:p w:rsidR="00CE716E" w:rsidRDefault="00CE716E" w:rsidP="00CE716E">
      <w:pPr>
        <w:pStyle w:val="NormalWeb"/>
        <w:spacing w:before="0" w:beforeAutospacing="0" w:after="0" w:afterAutospacing="0" w:line="360" w:lineRule="auto"/>
        <w:jc w:val="both"/>
        <w:rPr>
          <w:rFonts w:ascii="Arial" w:hAnsi="Arial" w:cs="Arial"/>
        </w:rPr>
      </w:pPr>
      <w:bookmarkStart w:id="24" w:name="art60§1i"/>
      <w:bookmarkEnd w:id="24"/>
      <w:r>
        <w:rPr>
          <w:rFonts w:ascii="Arial" w:hAnsi="Arial" w:cs="Arial"/>
          <w:b/>
          <w:bCs/>
        </w:rPr>
        <w:t>a)</w:t>
      </w:r>
      <w:r>
        <w:rPr>
          <w:rFonts w:ascii="Arial" w:hAnsi="Arial" w:cs="Arial"/>
        </w:rPr>
        <w:t xml:space="preserve"> empresas estabelecidas no território do Estado [...];</w:t>
      </w:r>
    </w:p>
    <w:p w:rsidR="00CE716E" w:rsidRDefault="00CE716E" w:rsidP="00CE716E">
      <w:pPr>
        <w:pStyle w:val="NormalWeb"/>
        <w:spacing w:before="0" w:beforeAutospacing="0" w:after="0" w:afterAutospacing="0" w:line="360" w:lineRule="auto"/>
        <w:jc w:val="both"/>
        <w:rPr>
          <w:rFonts w:ascii="Arial" w:hAnsi="Arial" w:cs="Arial"/>
        </w:rPr>
      </w:pPr>
      <w:bookmarkStart w:id="25" w:name="art60§1ii"/>
      <w:bookmarkEnd w:id="25"/>
      <w:r>
        <w:rPr>
          <w:rFonts w:ascii="Arial" w:hAnsi="Arial" w:cs="Arial"/>
          <w:b/>
          <w:bCs/>
        </w:rPr>
        <w:t>b)</w:t>
      </w:r>
      <w:r>
        <w:rPr>
          <w:rFonts w:ascii="Arial" w:hAnsi="Arial" w:cs="Arial"/>
        </w:rPr>
        <w:t xml:space="preserve"> empresas brasileiras;</w:t>
      </w:r>
    </w:p>
    <w:p w:rsidR="00CE716E" w:rsidRDefault="00CE716E" w:rsidP="00CE716E">
      <w:pPr>
        <w:pStyle w:val="NormalWeb"/>
        <w:spacing w:before="0" w:beforeAutospacing="0" w:after="0" w:afterAutospacing="0" w:line="360" w:lineRule="auto"/>
        <w:jc w:val="both"/>
        <w:rPr>
          <w:rFonts w:ascii="Arial" w:hAnsi="Arial" w:cs="Arial"/>
        </w:rPr>
      </w:pPr>
      <w:bookmarkStart w:id="26" w:name="art60§1iii"/>
      <w:bookmarkEnd w:id="26"/>
      <w:r>
        <w:rPr>
          <w:rFonts w:ascii="Arial" w:hAnsi="Arial" w:cs="Arial"/>
          <w:b/>
          <w:bCs/>
        </w:rPr>
        <w:t>c)</w:t>
      </w:r>
      <w:r>
        <w:rPr>
          <w:rFonts w:ascii="Arial" w:hAnsi="Arial" w:cs="Arial"/>
        </w:rPr>
        <w:t xml:space="preserve"> empresas que invistam em pesquisa e no desenvolvimento de tecnologia no País;</w:t>
      </w:r>
    </w:p>
    <w:p w:rsidR="00CE716E" w:rsidRDefault="00CE716E" w:rsidP="00CE716E">
      <w:pPr>
        <w:pStyle w:val="NormalWeb"/>
        <w:spacing w:before="0" w:beforeAutospacing="0" w:after="0" w:afterAutospacing="0" w:line="360" w:lineRule="auto"/>
        <w:jc w:val="both"/>
        <w:rPr>
          <w:rFonts w:ascii="Arial" w:hAnsi="Arial" w:cs="Arial"/>
        </w:rPr>
      </w:pPr>
      <w:bookmarkStart w:id="27" w:name="art60§1iv"/>
      <w:bookmarkEnd w:id="27"/>
      <w:r>
        <w:rPr>
          <w:rFonts w:ascii="Arial" w:hAnsi="Arial" w:cs="Arial"/>
          <w:b/>
          <w:bCs/>
        </w:rPr>
        <w:t>e)</w:t>
      </w:r>
      <w:r>
        <w:rPr>
          <w:rFonts w:ascii="Arial" w:hAnsi="Arial" w:cs="Arial"/>
        </w:rPr>
        <w:t xml:space="preserve"> empresas que comprovem a prática de mitigação, nos termos da </w:t>
      </w:r>
      <w:hyperlink r:id="rId8" w:history="1">
        <w:r>
          <w:rPr>
            <w:rStyle w:val="Hyperlink"/>
            <w:rFonts w:ascii="Arial" w:hAnsi="Arial" w:cs="Arial"/>
          </w:rPr>
          <w:t>Lei nº 12.187, de 29 de dezembro de 2009.</w:t>
        </w:r>
      </w:hyperlink>
    </w:p>
    <w:p w:rsidR="00CE716E" w:rsidRDefault="00CE716E" w:rsidP="00CE716E">
      <w:pPr>
        <w:tabs>
          <w:tab w:val="left" w:pos="1134"/>
        </w:tabs>
        <w:spacing w:line="360" w:lineRule="auto"/>
        <w:jc w:val="both"/>
        <w:rPr>
          <w:rFonts w:cs="Arial"/>
          <w:b/>
          <w:sz w:val="24"/>
          <w:szCs w:val="24"/>
        </w:rPr>
      </w:pPr>
    </w:p>
    <w:p w:rsidR="00CE716E" w:rsidRDefault="00CE716E" w:rsidP="00CE716E">
      <w:pPr>
        <w:tabs>
          <w:tab w:val="left" w:pos="1134"/>
        </w:tabs>
        <w:spacing w:line="360" w:lineRule="auto"/>
        <w:jc w:val="both"/>
        <w:rPr>
          <w:rFonts w:cs="Arial"/>
          <w:b/>
          <w:sz w:val="24"/>
          <w:szCs w:val="24"/>
        </w:rPr>
      </w:pPr>
      <w:r>
        <w:rPr>
          <w:rFonts w:cs="Arial"/>
          <w:b/>
          <w:sz w:val="24"/>
          <w:szCs w:val="24"/>
        </w:rPr>
        <w:t>11. NEGOCIAÇÃO E JULGAMENTO</w:t>
      </w:r>
    </w:p>
    <w:p w:rsidR="00CE716E" w:rsidRDefault="00CE716E" w:rsidP="00CE716E">
      <w:pPr>
        <w:tabs>
          <w:tab w:val="left" w:pos="1134"/>
        </w:tabs>
        <w:spacing w:line="360" w:lineRule="auto"/>
        <w:jc w:val="both"/>
        <w:rPr>
          <w:rFonts w:cs="Arial"/>
          <w:sz w:val="24"/>
          <w:szCs w:val="24"/>
          <w:lang w:eastAsia="hi-IN"/>
        </w:rPr>
      </w:pPr>
      <w:r>
        <w:rPr>
          <w:rFonts w:cs="Arial"/>
          <w:b/>
          <w:sz w:val="24"/>
          <w:szCs w:val="24"/>
        </w:rPr>
        <w:t xml:space="preserve">11.1. </w:t>
      </w:r>
      <w:r>
        <w:rPr>
          <w:rFonts w:cs="Arial"/>
          <w:sz w:val="24"/>
          <w:szCs w:val="24"/>
        </w:rPr>
        <w:t>Encerrada a etapa de envio de lances da sessão pública, inclusive com a realização do desempate, se for o caso, o pregoeiro deverá encaminhar, pelo sistema eletrônico, contraproposta ao licitante que tenha apresentado o melhor preço, para que seja obtida melhor proposta.</w:t>
      </w:r>
    </w:p>
    <w:p w:rsidR="00CE716E" w:rsidRDefault="00CE716E" w:rsidP="00CE716E">
      <w:pPr>
        <w:spacing w:line="360" w:lineRule="auto"/>
        <w:jc w:val="both"/>
        <w:rPr>
          <w:rFonts w:cs="Arial"/>
          <w:sz w:val="24"/>
          <w:szCs w:val="24"/>
        </w:rPr>
      </w:pPr>
      <w:r>
        <w:rPr>
          <w:rFonts w:cs="Arial"/>
          <w:b/>
          <w:sz w:val="24"/>
          <w:szCs w:val="24"/>
        </w:rPr>
        <w:t xml:space="preserve">11.2. </w:t>
      </w:r>
      <w:r>
        <w:rPr>
          <w:rFonts w:cs="Arial"/>
          <w:bCs/>
          <w:sz w:val="24"/>
          <w:szCs w:val="24"/>
        </w:rPr>
        <w:t>A resposta à contraproposta e o envio de documentos complementares, necessários ao julgamento da aceitabilidade da proposta, inclusive a sua adequação ao último lance ofertado, que sejam solicitados pelo pregoeiro, deverão ser encaminhados no prazo fixado no item 3.3 deste Edital.</w:t>
      </w:r>
    </w:p>
    <w:p w:rsidR="00CE716E" w:rsidRDefault="00CE716E" w:rsidP="00CE716E">
      <w:pPr>
        <w:spacing w:line="360" w:lineRule="auto"/>
        <w:jc w:val="both"/>
        <w:rPr>
          <w:rFonts w:cs="Arial"/>
          <w:sz w:val="24"/>
          <w:szCs w:val="24"/>
        </w:rPr>
      </w:pPr>
      <w:r>
        <w:rPr>
          <w:rFonts w:cs="Arial"/>
          <w:b/>
          <w:bCs/>
          <w:sz w:val="24"/>
          <w:szCs w:val="24"/>
        </w:rPr>
        <w:t xml:space="preserve">11.3. </w:t>
      </w:r>
      <w:r>
        <w:rPr>
          <w:rFonts w:cs="Arial"/>
          <w:sz w:val="24"/>
          <w:szCs w:val="24"/>
        </w:rPr>
        <w:t>Encerrada a etapa de negociação, será examinada a proposta classificada em primeiro lugar quanto à adequação ao objeto e à compatibilidade do preço em relação valor de referência da Administração.</w:t>
      </w:r>
    </w:p>
    <w:p w:rsidR="00CE716E" w:rsidRDefault="00CE716E" w:rsidP="00CE716E">
      <w:pPr>
        <w:spacing w:line="360" w:lineRule="auto"/>
        <w:jc w:val="both"/>
        <w:rPr>
          <w:rFonts w:cs="Arial"/>
          <w:sz w:val="24"/>
          <w:szCs w:val="24"/>
        </w:rPr>
      </w:pPr>
      <w:r>
        <w:rPr>
          <w:rFonts w:cs="Arial"/>
          <w:b/>
          <w:sz w:val="24"/>
          <w:szCs w:val="24"/>
        </w:rPr>
        <w:t xml:space="preserve">11.4. </w:t>
      </w:r>
      <w:r>
        <w:rPr>
          <w:rFonts w:cs="Arial"/>
          <w:sz w:val="24"/>
          <w:szCs w:val="24"/>
        </w:rPr>
        <w:t>Não serão consideradas, para julgamento das propostas, vantagens não previstas no edital.</w:t>
      </w:r>
    </w:p>
    <w:p w:rsidR="00CE716E" w:rsidRDefault="00CE716E" w:rsidP="00CE716E">
      <w:pPr>
        <w:spacing w:line="360" w:lineRule="auto"/>
        <w:jc w:val="both"/>
        <w:rPr>
          <w:rFonts w:cs="Arial"/>
          <w:sz w:val="24"/>
          <w:szCs w:val="24"/>
        </w:rPr>
      </w:pPr>
    </w:p>
    <w:p w:rsidR="00CE716E" w:rsidRDefault="00CE716E" w:rsidP="00CE716E">
      <w:pPr>
        <w:tabs>
          <w:tab w:val="left" w:pos="1134"/>
        </w:tabs>
        <w:spacing w:line="360" w:lineRule="auto"/>
        <w:jc w:val="both"/>
        <w:rPr>
          <w:rFonts w:cs="Arial"/>
          <w:b/>
          <w:sz w:val="24"/>
          <w:szCs w:val="24"/>
        </w:rPr>
      </w:pPr>
      <w:r>
        <w:rPr>
          <w:rFonts w:cs="Arial"/>
          <w:b/>
          <w:sz w:val="24"/>
          <w:szCs w:val="24"/>
        </w:rPr>
        <w:t>12. VERIFICAÇÃO DA HABILITAÇÃO</w:t>
      </w:r>
    </w:p>
    <w:p w:rsidR="00CE716E" w:rsidRDefault="00CE716E" w:rsidP="00CE716E">
      <w:pPr>
        <w:pStyle w:val="Default"/>
        <w:spacing w:line="360" w:lineRule="auto"/>
        <w:jc w:val="both"/>
      </w:pPr>
      <w:bookmarkStart w:id="28" w:name="_Hlk136341426"/>
      <w:r>
        <w:rPr>
          <w:b/>
          <w:bCs/>
        </w:rPr>
        <w:t>12.1.</w:t>
      </w:r>
      <w:r>
        <w:t xml:space="preserve"> Encerrada a etapa de propostas, o licitante melhor classificado enviará a documentação de habilitação no prazo de 72 </w:t>
      </w:r>
      <w:proofErr w:type="gramStart"/>
      <w:r>
        <w:t>( setenta</w:t>
      </w:r>
      <w:proofErr w:type="gramEnd"/>
      <w:r>
        <w:t xml:space="preserve"> e duas) horas.</w:t>
      </w:r>
    </w:p>
    <w:p w:rsidR="00CE716E" w:rsidRDefault="00CE716E" w:rsidP="00CE716E">
      <w:pPr>
        <w:pStyle w:val="Default"/>
        <w:spacing w:line="360" w:lineRule="auto"/>
        <w:jc w:val="both"/>
      </w:pPr>
      <w:r>
        <w:lastRenderedPageBreak/>
        <w:t>Após a entrega dos documentos para habilitação, não será permitida a substituição ou a apresentação de novos documentos, salvo em sede de diligência, para:</w:t>
      </w:r>
      <w:bookmarkStart w:id="29" w:name="art64i"/>
      <w:bookmarkEnd w:id="29"/>
    </w:p>
    <w:p w:rsidR="00CE716E" w:rsidRDefault="00CE716E" w:rsidP="00CE716E">
      <w:pPr>
        <w:pStyle w:val="Default"/>
        <w:spacing w:line="360" w:lineRule="auto"/>
        <w:jc w:val="both"/>
      </w:pPr>
      <w:r>
        <w:rPr>
          <w:b/>
          <w:bCs/>
        </w:rPr>
        <w:t>a)</w:t>
      </w:r>
      <w:r>
        <w:t xml:space="preserve"> complementação de informações acerca dos documentos já apresentados pelos licitantes e desde que necessária para apurar fatos existentes à época da abertura do certame;</w:t>
      </w:r>
      <w:bookmarkStart w:id="30" w:name="art64ii"/>
      <w:bookmarkEnd w:id="30"/>
      <w:r>
        <w:t xml:space="preserve"> </w:t>
      </w:r>
    </w:p>
    <w:p w:rsidR="00CE716E" w:rsidRDefault="00CE716E" w:rsidP="00CE716E">
      <w:pPr>
        <w:pStyle w:val="Default"/>
        <w:spacing w:line="360" w:lineRule="auto"/>
        <w:jc w:val="both"/>
      </w:pPr>
      <w:r>
        <w:rPr>
          <w:b/>
          <w:bCs/>
        </w:rPr>
        <w:t>b)</w:t>
      </w:r>
      <w:r>
        <w:t xml:space="preserve"> atualização de documentos cuja validade tenha expirado após a data de recebimento das propostas.</w:t>
      </w:r>
    </w:p>
    <w:p w:rsidR="00CE716E" w:rsidRDefault="00CE716E" w:rsidP="00CE716E">
      <w:pPr>
        <w:pStyle w:val="Default"/>
        <w:spacing w:line="360" w:lineRule="auto"/>
        <w:jc w:val="both"/>
      </w:pPr>
      <w:bookmarkStart w:id="31" w:name="_Hlk136337610"/>
      <w:bookmarkEnd w:id="28"/>
      <w:r>
        <w:rPr>
          <w:b/>
          <w:bCs/>
        </w:rPr>
        <w:t>12.2.</w:t>
      </w:r>
      <w:r>
        <w:t xml:space="preserve"> Na análise dos documentos de habilitação, o pregoeiro poderá sanar erros ou falhas que não alterem a substância dos documentos e sua validade jurídica, mediante despacho fundamentado registrado e acessível a todos, atribuindo-lhes eficácia para fins de habilitação e classificação. </w:t>
      </w:r>
    </w:p>
    <w:p w:rsidR="00CE716E" w:rsidRDefault="00CE716E" w:rsidP="00CE716E">
      <w:pPr>
        <w:spacing w:line="360" w:lineRule="auto"/>
        <w:jc w:val="both"/>
        <w:rPr>
          <w:rFonts w:cs="Arial"/>
          <w:sz w:val="24"/>
          <w:szCs w:val="24"/>
        </w:rPr>
      </w:pPr>
      <w:bookmarkStart w:id="32" w:name="_Hlk136341543"/>
      <w:bookmarkStart w:id="33" w:name="_Hlk136337734"/>
      <w:bookmarkEnd w:id="31"/>
      <w:r>
        <w:rPr>
          <w:rFonts w:cs="Arial"/>
          <w:b/>
          <w:bCs/>
          <w:sz w:val="24"/>
          <w:szCs w:val="24"/>
        </w:rPr>
        <w:t xml:space="preserve">12.3. </w:t>
      </w:r>
      <w:r>
        <w:rPr>
          <w:rFonts w:cs="Arial"/>
          <w:sz w:val="24"/>
          <w:szCs w:val="24"/>
        </w:rPr>
        <w:t>As certidões apresentadas na habilitação, que tenham sido expedidas em meio eletrônico, serão tidas como originais após terem a autenticidade de seus dados e certificação digital conferidos pela Administração, dispensando nova apresentação, exceto se vencido o prazo de validade.</w:t>
      </w:r>
      <w:r>
        <w:rPr>
          <w:rFonts w:cs="Arial"/>
          <w:b/>
          <w:bCs/>
          <w:sz w:val="24"/>
          <w:szCs w:val="24"/>
        </w:rPr>
        <w:t xml:space="preserve"> </w:t>
      </w:r>
    </w:p>
    <w:bookmarkEnd w:id="32"/>
    <w:p w:rsidR="00CE716E" w:rsidRDefault="00CE716E" w:rsidP="00CE716E">
      <w:pPr>
        <w:spacing w:line="360" w:lineRule="auto"/>
        <w:jc w:val="both"/>
        <w:rPr>
          <w:rFonts w:cs="Arial"/>
          <w:sz w:val="24"/>
          <w:szCs w:val="24"/>
        </w:rPr>
      </w:pPr>
      <w:r>
        <w:rPr>
          <w:rFonts w:cs="Arial"/>
          <w:b/>
          <w:bCs/>
          <w:sz w:val="24"/>
          <w:szCs w:val="24"/>
        </w:rPr>
        <w:t xml:space="preserve">12.4. </w:t>
      </w:r>
      <w:r>
        <w:rPr>
          <w:rFonts w:cs="Arial"/>
          <w:sz w:val="24"/>
          <w:szCs w:val="24"/>
        </w:rPr>
        <w:t>O beneficiário da Lei Complementar nº 123/2006, que tenha apresentado a declaração exigida no item 3.2.3 e 3.2.4 deste Edital e que possua alguma restrição na comprovação de regularidade fiscal e/ou trabalhista, terá sua habilitação condicionada ao envio de nova documentação, que comprove a sua regularidade, em 5 (cinco) dias úteis, a contar da data em que declarado vencedor, prazo que poderá ser prorrogado uma única vez, por igual período, a critério da Administração, desde que seja requerido pelo interessado, de forma motivada e durante o transcurso do respectivo prazo.</w:t>
      </w:r>
    </w:p>
    <w:p w:rsidR="00CE716E" w:rsidRDefault="00CE716E" w:rsidP="00CE716E">
      <w:pPr>
        <w:spacing w:line="360" w:lineRule="auto"/>
        <w:jc w:val="both"/>
        <w:rPr>
          <w:rFonts w:cs="Arial"/>
          <w:sz w:val="24"/>
          <w:szCs w:val="24"/>
        </w:rPr>
      </w:pPr>
      <w:r>
        <w:rPr>
          <w:rFonts w:cs="Arial"/>
          <w:b/>
          <w:bCs/>
          <w:sz w:val="24"/>
          <w:szCs w:val="24"/>
        </w:rPr>
        <w:t>12.5.</w:t>
      </w:r>
      <w:r>
        <w:rPr>
          <w:rFonts w:cs="Arial"/>
          <w:sz w:val="24"/>
          <w:szCs w:val="24"/>
        </w:rPr>
        <w:t xml:space="preserve"> Na hipótese de a proposta vencedora não for aceitável ou o licitante não atender às exigências para habilitação, o pregoeiro examinará a proposta subsequente e assim sucessivamente, na ordem de classificação, até a apuração de uma proposta que atenda ao edital. Nessa hipótese, classificada a </w:t>
      </w:r>
      <w:r>
        <w:rPr>
          <w:rFonts w:cs="Arial"/>
          <w:sz w:val="24"/>
          <w:szCs w:val="24"/>
        </w:rPr>
        <w:lastRenderedPageBreak/>
        <w:t xml:space="preserve">proposta, será concedido o prazo previsto no item 12.1 para o envio da documentação de habilitação. </w:t>
      </w:r>
    </w:p>
    <w:p w:rsidR="00CE716E" w:rsidRDefault="00CE716E" w:rsidP="00CE716E">
      <w:pPr>
        <w:pStyle w:val="Default"/>
        <w:spacing w:line="360" w:lineRule="auto"/>
        <w:jc w:val="both"/>
        <w:rPr>
          <w:color w:val="auto"/>
        </w:rPr>
      </w:pPr>
      <w:r>
        <w:rPr>
          <w:b/>
          <w:bCs/>
          <w:color w:val="auto"/>
        </w:rPr>
        <w:t>12.6.</w:t>
      </w:r>
      <w:r>
        <w:rPr>
          <w:color w:val="auto"/>
        </w:rPr>
        <w:t xml:space="preserve"> Na análise dos documentos de habilitação, a comissão de licitação poderá sanar erros ou falhas que não alterem a substância dos documentos e sua validade jurídica, mediante despacho fundamentado registrado e acessível a todos, atribuindo-lhes eficácia para fins de habilitação e classificação. </w:t>
      </w:r>
    </w:p>
    <w:p w:rsidR="00CE716E" w:rsidRDefault="00CE716E" w:rsidP="00CE716E">
      <w:pPr>
        <w:pStyle w:val="Default"/>
        <w:spacing w:line="360" w:lineRule="auto"/>
        <w:jc w:val="both"/>
      </w:pPr>
      <w:r>
        <w:rPr>
          <w:b/>
          <w:bCs/>
        </w:rPr>
        <w:t>12.7.</w:t>
      </w:r>
      <w:r>
        <w:t xml:space="preserve"> A habilitação poderá ser realizada por processo eletrônico de comunicação a distância, nos termos dispostos em regulamento do Poder Público.</w:t>
      </w:r>
    </w:p>
    <w:p w:rsidR="00CE716E" w:rsidRDefault="00CE716E" w:rsidP="00CE716E">
      <w:pPr>
        <w:spacing w:line="360" w:lineRule="auto"/>
        <w:jc w:val="both"/>
        <w:rPr>
          <w:rFonts w:cs="Arial"/>
          <w:sz w:val="24"/>
          <w:szCs w:val="24"/>
        </w:rPr>
      </w:pPr>
      <w:r>
        <w:rPr>
          <w:rFonts w:cs="Arial"/>
          <w:b/>
          <w:bCs/>
          <w:sz w:val="24"/>
          <w:szCs w:val="24"/>
        </w:rPr>
        <w:t xml:space="preserve">12.8. </w:t>
      </w:r>
      <w:r>
        <w:rPr>
          <w:rFonts w:cs="Arial"/>
          <w:sz w:val="24"/>
          <w:szCs w:val="24"/>
        </w:rPr>
        <w:t>Constatado o atendimento às exigências estabelecidas no Edital, o licitante será declarado vencedor, oportunizando-se a manifestação da intenção de recurso.</w:t>
      </w:r>
    </w:p>
    <w:bookmarkEnd w:id="33"/>
    <w:p w:rsidR="00CE716E" w:rsidRDefault="00CE716E" w:rsidP="00CE716E">
      <w:pPr>
        <w:spacing w:line="360" w:lineRule="auto"/>
        <w:jc w:val="both"/>
        <w:rPr>
          <w:rFonts w:cs="Arial"/>
          <w:b/>
          <w:bCs/>
          <w:sz w:val="24"/>
          <w:szCs w:val="24"/>
        </w:rPr>
      </w:pPr>
    </w:p>
    <w:p w:rsidR="00CE716E" w:rsidRDefault="00CE716E" w:rsidP="00CE716E">
      <w:pPr>
        <w:tabs>
          <w:tab w:val="left" w:pos="1134"/>
        </w:tabs>
        <w:spacing w:line="360" w:lineRule="auto"/>
        <w:jc w:val="both"/>
        <w:rPr>
          <w:rFonts w:cs="Arial"/>
          <w:b/>
          <w:sz w:val="24"/>
          <w:szCs w:val="24"/>
        </w:rPr>
      </w:pPr>
      <w:r>
        <w:rPr>
          <w:rFonts w:cs="Arial"/>
          <w:b/>
          <w:sz w:val="24"/>
          <w:szCs w:val="24"/>
        </w:rPr>
        <w:t xml:space="preserve">13. DOS RECURSOS </w:t>
      </w:r>
    </w:p>
    <w:p w:rsidR="00CE716E" w:rsidRDefault="00CE716E" w:rsidP="00CE716E">
      <w:pPr>
        <w:tabs>
          <w:tab w:val="left" w:pos="1134"/>
        </w:tabs>
        <w:spacing w:line="360" w:lineRule="auto"/>
        <w:jc w:val="both"/>
        <w:rPr>
          <w:rFonts w:cs="Arial"/>
          <w:sz w:val="24"/>
          <w:szCs w:val="24"/>
        </w:rPr>
      </w:pPr>
      <w:r>
        <w:rPr>
          <w:rFonts w:cs="Arial"/>
          <w:b/>
          <w:sz w:val="24"/>
          <w:szCs w:val="24"/>
        </w:rPr>
        <w:t xml:space="preserve">13.1. </w:t>
      </w:r>
      <w:r>
        <w:rPr>
          <w:rFonts w:cs="Arial"/>
          <w:bCs/>
          <w:sz w:val="24"/>
          <w:szCs w:val="24"/>
        </w:rPr>
        <w:t xml:space="preserve">Caberá recurso, </w:t>
      </w:r>
      <w:r>
        <w:rPr>
          <w:rFonts w:cs="Arial"/>
          <w:sz w:val="24"/>
          <w:szCs w:val="24"/>
        </w:rPr>
        <w:t>no prazo de 3 (três) dias úteis, contado da data de intimação ou de lavratura da ata, em face de:</w:t>
      </w:r>
    </w:p>
    <w:p w:rsidR="00CE716E" w:rsidRDefault="00CE716E" w:rsidP="00CE716E">
      <w:pPr>
        <w:pStyle w:val="NormalWeb"/>
        <w:spacing w:before="0" w:beforeAutospacing="0" w:after="0" w:afterAutospacing="0" w:line="360" w:lineRule="auto"/>
        <w:jc w:val="both"/>
        <w:rPr>
          <w:rFonts w:ascii="Arial" w:hAnsi="Arial" w:cs="Arial"/>
        </w:rPr>
      </w:pPr>
      <w:bookmarkStart w:id="34" w:name="art165ia"/>
      <w:bookmarkEnd w:id="34"/>
      <w:r>
        <w:rPr>
          <w:rFonts w:ascii="Arial" w:hAnsi="Arial" w:cs="Arial"/>
          <w:b/>
          <w:bCs/>
        </w:rPr>
        <w:t>a)</w:t>
      </w:r>
      <w:r>
        <w:rPr>
          <w:rFonts w:ascii="Arial" w:hAnsi="Arial" w:cs="Arial"/>
        </w:rPr>
        <w:t xml:space="preserve"> ato que defira ou indefira pedido de pré-qualificação de interessado ou de inscrição em registro cadastral, sua alteração ou cancelamento;</w:t>
      </w:r>
    </w:p>
    <w:p w:rsidR="00CE716E" w:rsidRDefault="00CE716E" w:rsidP="00CE716E">
      <w:pPr>
        <w:pStyle w:val="NormalWeb"/>
        <w:spacing w:before="0" w:beforeAutospacing="0" w:after="0" w:afterAutospacing="0" w:line="360" w:lineRule="auto"/>
        <w:jc w:val="both"/>
        <w:rPr>
          <w:rFonts w:ascii="Arial" w:hAnsi="Arial" w:cs="Arial"/>
        </w:rPr>
      </w:pPr>
      <w:bookmarkStart w:id="35" w:name="art165ib"/>
      <w:bookmarkEnd w:id="35"/>
      <w:r>
        <w:rPr>
          <w:rFonts w:ascii="Arial" w:hAnsi="Arial" w:cs="Arial"/>
          <w:b/>
          <w:bCs/>
        </w:rPr>
        <w:t>b)</w:t>
      </w:r>
      <w:r>
        <w:rPr>
          <w:rFonts w:ascii="Arial" w:hAnsi="Arial" w:cs="Arial"/>
        </w:rPr>
        <w:t xml:space="preserve"> julgamento das propostas;</w:t>
      </w:r>
    </w:p>
    <w:p w:rsidR="00CE716E" w:rsidRDefault="00CE716E" w:rsidP="00CE716E">
      <w:pPr>
        <w:pStyle w:val="NormalWeb"/>
        <w:spacing w:before="0" w:beforeAutospacing="0" w:after="0" w:afterAutospacing="0" w:line="360" w:lineRule="auto"/>
        <w:jc w:val="both"/>
        <w:rPr>
          <w:rFonts w:ascii="Arial" w:hAnsi="Arial" w:cs="Arial"/>
        </w:rPr>
      </w:pPr>
      <w:bookmarkStart w:id="36" w:name="art165ic"/>
      <w:bookmarkEnd w:id="36"/>
      <w:r>
        <w:rPr>
          <w:rFonts w:ascii="Arial" w:hAnsi="Arial" w:cs="Arial"/>
          <w:b/>
          <w:bCs/>
        </w:rPr>
        <w:t>c)</w:t>
      </w:r>
      <w:r>
        <w:rPr>
          <w:rFonts w:ascii="Arial" w:hAnsi="Arial" w:cs="Arial"/>
        </w:rPr>
        <w:t xml:space="preserve"> ato de habilitação ou inabilitação de licitante;</w:t>
      </w:r>
    </w:p>
    <w:p w:rsidR="00CE716E" w:rsidRDefault="00CE716E" w:rsidP="00CE716E">
      <w:pPr>
        <w:pStyle w:val="NormalWeb"/>
        <w:spacing w:before="0" w:beforeAutospacing="0" w:after="0" w:afterAutospacing="0" w:line="360" w:lineRule="auto"/>
        <w:jc w:val="both"/>
        <w:rPr>
          <w:rFonts w:ascii="Arial" w:hAnsi="Arial" w:cs="Arial"/>
        </w:rPr>
      </w:pPr>
      <w:bookmarkStart w:id="37" w:name="art165id"/>
      <w:bookmarkEnd w:id="37"/>
      <w:r>
        <w:rPr>
          <w:rFonts w:ascii="Arial" w:hAnsi="Arial" w:cs="Arial"/>
          <w:b/>
          <w:bCs/>
        </w:rPr>
        <w:t>d)</w:t>
      </w:r>
      <w:r>
        <w:rPr>
          <w:rFonts w:ascii="Arial" w:hAnsi="Arial" w:cs="Arial"/>
        </w:rPr>
        <w:t xml:space="preserve"> anulação ou revogação da licitação.</w:t>
      </w:r>
    </w:p>
    <w:p w:rsidR="00CE716E" w:rsidRDefault="00CE716E" w:rsidP="00CE716E">
      <w:pPr>
        <w:pStyle w:val="NormalWeb"/>
        <w:spacing w:before="0" w:beforeAutospacing="0" w:after="0" w:afterAutospacing="0" w:line="360" w:lineRule="auto"/>
        <w:jc w:val="both"/>
        <w:rPr>
          <w:rFonts w:ascii="Arial" w:hAnsi="Arial" w:cs="Arial"/>
          <w:b/>
          <w:bCs/>
        </w:rPr>
      </w:pPr>
      <w:r>
        <w:rPr>
          <w:rFonts w:ascii="Arial" w:hAnsi="Arial" w:cs="Arial"/>
          <w:b/>
          <w:bCs/>
        </w:rPr>
        <w:t>13.2.</w:t>
      </w:r>
      <w:r>
        <w:rPr>
          <w:rFonts w:ascii="Arial" w:hAnsi="Arial" w:cs="Arial"/>
        </w:rPr>
        <w:t xml:space="preserve"> O prazo para apresentação de contrarrazões será o mesmo do recurso e terá início na data de intimação ou de divulgação da interposição do recurso.</w:t>
      </w:r>
    </w:p>
    <w:p w:rsidR="00CE716E" w:rsidRDefault="00CE716E" w:rsidP="00CE716E">
      <w:pPr>
        <w:pStyle w:val="NormalWeb"/>
        <w:spacing w:before="0" w:beforeAutospacing="0" w:after="0" w:afterAutospacing="0" w:line="360" w:lineRule="auto"/>
        <w:jc w:val="both"/>
        <w:rPr>
          <w:rFonts w:ascii="Arial" w:hAnsi="Arial" w:cs="Arial"/>
        </w:rPr>
      </w:pPr>
      <w:r>
        <w:rPr>
          <w:rFonts w:ascii="Arial" w:hAnsi="Arial" w:cs="Arial"/>
          <w:b/>
          <w:bCs/>
        </w:rPr>
        <w:t>13.3.</w:t>
      </w:r>
      <w:r>
        <w:rPr>
          <w:rFonts w:ascii="Arial" w:hAnsi="Arial" w:cs="Arial"/>
        </w:rPr>
        <w:t xml:space="preserve"> Quanto ao recurso apresentado em virtude do disposto </w:t>
      </w:r>
      <w:proofErr w:type="spellStart"/>
      <w:r>
        <w:rPr>
          <w:rFonts w:ascii="Arial" w:hAnsi="Arial" w:cs="Arial"/>
        </w:rPr>
        <w:t>nas</w:t>
      </w:r>
      <w:proofErr w:type="spellEnd"/>
      <w:r>
        <w:rPr>
          <w:rFonts w:ascii="Arial" w:hAnsi="Arial" w:cs="Arial"/>
        </w:rPr>
        <w:t xml:space="preserve"> alíneas “b” e “c” do item 13.1 do presente Edital, serão observadas as seguintes disposições:</w:t>
      </w:r>
    </w:p>
    <w:p w:rsidR="00CE716E" w:rsidRDefault="00CE716E" w:rsidP="00CE716E">
      <w:pPr>
        <w:pStyle w:val="NormalWeb"/>
        <w:spacing w:before="0" w:beforeAutospacing="0" w:after="0" w:afterAutospacing="0" w:line="360" w:lineRule="auto"/>
        <w:jc w:val="both"/>
        <w:rPr>
          <w:rFonts w:ascii="Arial" w:hAnsi="Arial" w:cs="Arial"/>
        </w:rPr>
      </w:pPr>
      <w:bookmarkStart w:id="38" w:name="art165§1i"/>
      <w:bookmarkEnd w:id="38"/>
      <w:r>
        <w:rPr>
          <w:rFonts w:ascii="Arial" w:hAnsi="Arial" w:cs="Arial"/>
          <w:b/>
          <w:bCs/>
        </w:rPr>
        <w:t>a)</w:t>
      </w:r>
      <w:r>
        <w:rPr>
          <w:rFonts w:ascii="Arial" w:hAnsi="Arial" w:cs="Arial"/>
        </w:rPr>
        <w:t xml:space="preserve"> a intenção de recorrer deverá ser manifestada imediatamente, sob pena de preclusão, e o prazo para apresentação das razões recursais será iniciado na data de intimação ou de lavratura da ata de habilitação ou inabilitação;</w:t>
      </w:r>
    </w:p>
    <w:p w:rsidR="00CE716E" w:rsidRDefault="00CE716E" w:rsidP="00CE716E">
      <w:pPr>
        <w:pStyle w:val="NormalWeb"/>
        <w:spacing w:before="0" w:beforeAutospacing="0" w:after="0" w:afterAutospacing="0" w:line="360" w:lineRule="auto"/>
        <w:jc w:val="both"/>
        <w:rPr>
          <w:rFonts w:ascii="Arial" w:hAnsi="Arial" w:cs="Arial"/>
        </w:rPr>
      </w:pPr>
      <w:bookmarkStart w:id="39" w:name="art165§1ii"/>
      <w:bookmarkEnd w:id="39"/>
      <w:r>
        <w:rPr>
          <w:rFonts w:ascii="Arial" w:hAnsi="Arial" w:cs="Arial"/>
          <w:b/>
          <w:bCs/>
        </w:rPr>
        <w:t>b)</w:t>
      </w:r>
      <w:r>
        <w:rPr>
          <w:rFonts w:ascii="Arial" w:hAnsi="Arial" w:cs="Arial"/>
        </w:rPr>
        <w:t xml:space="preserve"> a apreciação dar-se-á em fase única.</w:t>
      </w:r>
    </w:p>
    <w:p w:rsidR="00CE716E" w:rsidRDefault="00CE716E" w:rsidP="00CE716E">
      <w:pPr>
        <w:pStyle w:val="NormalWeb"/>
        <w:spacing w:before="0" w:beforeAutospacing="0" w:after="0" w:afterAutospacing="0" w:line="360" w:lineRule="auto"/>
        <w:jc w:val="both"/>
        <w:rPr>
          <w:rFonts w:ascii="Arial" w:hAnsi="Arial" w:cs="Arial"/>
        </w:rPr>
      </w:pPr>
      <w:r>
        <w:rPr>
          <w:rFonts w:ascii="Arial" w:hAnsi="Arial" w:cs="Arial"/>
          <w:b/>
          <w:bCs/>
        </w:rPr>
        <w:lastRenderedPageBreak/>
        <w:t>13.4.</w:t>
      </w:r>
      <w:r>
        <w:rPr>
          <w:rFonts w:ascii="Arial" w:hAnsi="Arial" w:cs="Arial"/>
        </w:rPr>
        <w:t xml:space="preserve"> O recurso será dirigido à autoridade que tiver editado o ato ou proferido a decisão recorrida, que, se não reconsiderar o ato ou a decisão no prazo de 3 (três) dias úteis, encaminhará o recurso com a sua motivação à autoridade superior, a qual deverá proferir sua decisão no prazo máximo de 10 (dez) dias úteis, contado do recebimento dos autos.</w:t>
      </w:r>
    </w:p>
    <w:p w:rsidR="00CE716E" w:rsidRDefault="00CE716E" w:rsidP="00CE716E">
      <w:pPr>
        <w:pStyle w:val="NormalWeb"/>
        <w:spacing w:before="0" w:beforeAutospacing="0" w:after="0" w:afterAutospacing="0" w:line="360" w:lineRule="auto"/>
        <w:jc w:val="both"/>
        <w:rPr>
          <w:rFonts w:ascii="Arial" w:hAnsi="Arial" w:cs="Arial"/>
        </w:rPr>
      </w:pPr>
      <w:r>
        <w:rPr>
          <w:rFonts w:ascii="Arial" w:hAnsi="Arial" w:cs="Arial"/>
          <w:b/>
          <w:bCs/>
        </w:rPr>
        <w:t>13.5.</w:t>
      </w:r>
      <w:r>
        <w:rPr>
          <w:rFonts w:ascii="Arial" w:hAnsi="Arial" w:cs="Arial"/>
        </w:rPr>
        <w:t xml:space="preserve"> O acolhimento do recurso implicará invalidação apenas de ato insuscetível de aproveitamento.</w:t>
      </w:r>
    </w:p>
    <w:p w:rsidR="00CE716E" w:rsidRDefault="00CE716E" w:rsidP="00CE716E">
      <w:pPr>
        <w:pStyle w:val="NormalWeb"/>
        <w:spacing w:before="0" w:beforeAutospacing="0" w:after="0" w:afterAutospacing="0" w:line="360" w:lineRule="auto"/>
        <w:jc w:val="both"/>
        <w:rPr>
          <w:rFonts w:ascii="Arial" w:hAnsi="Arial" w:cs="Arial"/>
        </w:rPr>
      </w:pPr>
      <w:r>
        <w:rPr>
          <w:rFonts w:ascii="Arial" w:hAnsi="Arial" w:cs="Arial"/>
          <w:b/>
          <w:bCs/>
        </w:rPr>
        <w:t>13.6.</w:t>
      </w:r>
      <w:r>
        <w:rPr>
          <w:rFonts w:ascii="Arial" w:hAnsi="Arial" w:cs="Arial"/>
        </w:rPr>
        <w:t xml:space="preserve"> O recurso interposto dará efeito suspensivo ao ato ou à decisão recorrida, até que sobrevenha decisão final da autoridade competente.</w:t>
      </w:r>
    </w:p>
    <w:p w:rsidR="00CE716E" w:rsidRDefault="00CE716E" w:rsidP="00CE716E">
      <w:pPr>
        <w:pStyle w:val="NormalWeb"/>
        <w:spacing w:before="0" w:beforeAutospacing="0" w:after="0" w:afterAutospacing="0" w:line="360" w:lineRule="auto"/>
        <w:jc w:val="both"/>
        <w:rPr>
          <w:rFonts w:ascii="Arial" w:hAnsi="Arial" w:cs="Arial"/>
        </w:rPr>
      </w:pPr>
    </w:p>
    <w:p w:rsidR="00CE716E" w:rsidRDefault="00CE716E" w:rsidP="00CE716E">
      <w:pPr>
        <w:tabs>
          <w:tab w:val="left" w:pos="1134"/>
        </w:tabs>
        <w:spacing w:line="360" w:lineRule="auto"/>
        <w:jc w:val="both"/>
        <w:rPr>
          <w:rFonts w:cs="Arial"/>
          <w:b/>
          <w:sz w:val="24"/>
          <w:szCs w:val="24"/>
        </w:rPr>
      </w:pPr>
      <w:bookmarkStart w:id="40" w:name="art165ie"/>
      <w:bookmarkEnd w:id="40"/>
      <w:r>
        <w:rPr>
          <w:rFonts w:cs="Arial"/>
          <w:b/>
          <w:sz w:val="24"/>
          <w:szCs w:val="24"/>
        </w:rPr>
        <w:t>14. ENCERRAMENTO DA LICITAÇÃO</w:t>
      </w:r>
    </w:p>
    <w:p w:rsidR="00CE716E" w:rsidRDefault="00CE716E" w:rsidP="00CE716E">
      <w:pPr>
        <w:pStyle w:val="NormalWeb"/>
        <w:spacing w:before="0" w:beforeAutospacing="0" w:after="0" w:afterAutospacing="0" w:line="360" w:lineRule="auto"/>
        <w:jc w:val="both"/>
        <w:rPr>
          <w:rFonts w:ascii="Arial" w:hAnsi="Arial" w:cs="Arial"/>
        </w:rPr>
      </w:pPr>
      <w:r>
        <w:rPr>
          <w:rFonts w:ascii="Arial" w:hAnsi="Arial" w:cs="Arial"/>
          <w:b/>
          <w:bCs/>
        </w:rPr>
        <w:t>14.1.</w:t>
      </w:r>
      <w:r>
        <w:rPr>
          <w:rFonts w:ascii="Arial" w:hAnsi="Arial" w:cs="Arial"/>
        </w:rPr>
        <w:t xml:space="preserve"> Encerradas as fases de julgamento e habilitação, e exauridos os recursos administrativos, o processo licitatório será encaminhado à autoridade superior, que poderá:</w:t>
      </w:r>
    </w:p>
    <w:p w:rsidR="00CE716E" w:rsidRDefault="00CE716E" w:rsidP="00CE716E">
      <w:pPr>
        <w:pStyle w:val="NormalWeb"/>
        <w:spacing w:before="0" w:beforeAutospacing="0" w:after="0" w:afterAutospacing="0" w:line="360" w:lineRule="auto"/>
        <w:jc w:val="both"/>
        <w:rPr>
          <w:rFonts w:ascii="Arial" w:hAnsi="Arial" w:cs="Arial"/>
        </w:rPr>
      </w:pPr>
      <w:bookmarkStart w:id="41" w:name="art71i"/>
      <w:bookmarkEnd w:id="41"/>
      <w:r>
        <w:rPr>
          <w:rFonts w:ascii="Arial" w:hAnsi="Arial" w:cs="Arial"/>
          <w:b/>
          <w:bCs/>
        </w:rPr>
        <w:t>a)</w:t>
      </w:r>
      <w:r>
        <w:rPr>
          <w:rFonts w:ascii="Arial" w:hAnsi="Arial" w:cs="Arial"/>
        </w:rPr>
        <w:t xml:space="preserve"> determinar o retorno dos autos para saneamento de irregularidades;</w:t>
      </w:r>
    </w:p>
    <w:p w:rsidR="00CE716E" w:rsidRDefault="00CE716E" w:rsidP="00CE716E">
      <w:pPr>
        <w:pStyle w:val="NormalWeb"/>
        <w:spacing w:before="0" w:beforeAutospacing="0" w:after="0" w:afterAutospacing="0" w:line="360" w:lineRule="auto"/>
        <w:jc w:val="both"/>
        <w:rPr>
          <w:rFonts w:ascii="Arial" w:hAnsi="Arial" w:cs="Arial"/>
        </w:rPr>
      </w:pPr>
      <w:bookmarkStart w:id="42" w:name="art71ii"/>
      <w:bookmarkEnd w:id="42"/>
      <w:r>
        <w:rPr>
          <w:rFonts w:ascii="Arial" w:hAnsi="Arial" w:cs="Arial"/>
          <w:b/>
          <w:bCs/>
        </w:rPr>
        <w:t>b)</w:t>
      </w:r>
      <w:r>
        <w:rPr>
          <w:rFonts w:ascii="Arial" w:hAnsi="Arial" w:cs="Arial"/>
        </w:rPr>
        <w:t xml:space="preserve"> revogar a licitação por motivo de conveniência e oportunidade;</w:t>
      </w:r>
    </w:p>
    <w:p w:rsidR="00CE716E" w:rsidRDefault="00CE716E" w:rsidP="00CE716E">
      <w:pPr>
        <w:pStyle w:val="NormalWeb"/>
        <w:spacing w:before="0" w:beforeAutospacing="0" w:after="0" w:afterAutospacing="0" w:line="360" w:lineRule="auto"/>
        <w:jc w:val="both"/>
        <w:rPr>
          <w:rFonts w:ascii="Arial" w:hAnsi="Arial" w:cs="Arial"/>
        </w:rPr>
      </w:pPr>
      <w:bookmarkStart w:id="43" w:name="art71iii"/>
      <w:bookmarkEnd w:id="43"/>
      <w:r>
        <w:rPr>
          <w:rFonts w:ascii="Arial" w:hAnsi="Arial" w:cs="Arial"/>
          <w:b/>
          <w:bCs/>
        </w:rPr>
        <w:t>c)</w:t>
      </w:r>
      <w:r>
        <w:rPr>
          <w:rFonts w:ascii="Arial" w:hAnsi="Arial" w:cs="Arial"/>
        </w:rPr>
        <w:t xml:space="preserve"> proceder à anulação da licitação, de ofício ou mediante provocação de terceiros, sempre que presente ilegalidade insanável;</w:t>
      </w:r>
    </w:p>
    <w:p w:rsidR="00CE716E" w:rsidRDefault="00CE716E" w:rsidP="00CE716E">
      <w:pPr>
        <w:pStyle w:val="NormalWeb"/>
        <w:spacing w:before="0" w:beforeAutospacing="0" w:after="0" w:afterAutospacing="0" w:line="360" w:lineRule="auto"/>
        <w:jc w:val="both"/>
        <w:rPr>
          <w:rFonts w:ascii="Arial" w:hAnsi="Arial" w:cs="Arial"/>
        </w:rPr>
      </w:pPr>
      <w:bookmarkStart w:id="44" w:name="art71iv"/>
      <w:bookmarkEnd w:id="44"/>
      <w:r>
        <w:rPr>
          <w:rFonts w:ascii="Arial" w:hAnsi="Arial" w:cs="Arial"/>
          <w:b/>
          <w:bCs/>
        </w:rPr>
        <w:t>d)</w:t>
      </w:r>
      <w:r>
        <w:rPr>
          <w:rFonts w:ascii="Arial" w:hAnsi="Arial" w:cs="Arial"/>
        </w:rPr>
        <w:t xml:space="preserve"> adjudicar o objeto e homologar a licitação.</w:t>
      </w:r>
    </w:p>
    <w:p w:rsidR="00CE716E" w:rsidRDefault="00CE716E" w:rsidP="00CE716E">
      <w:pPr>
        <w:tabs>
          <w:tab w:val="left" w:pos="1134"/>
        </w:tabs>
        <w:spacing w:line="360" w:lineRule="auto"/>
        <w:jc w:val="both"/>
        <w:rPr>
          <w:rFonts w:cs="Arial"/>
          <w:b/>
          <w:sz w:val="24"/>
          <w:szCs w:val="24"/>
        </w:rPr>
      </w:pPr>
      <w:bookmarkStart w:id="45" w:name="art71§1"/>
      <w:bookmarkEnd w:id="45"/>
    </w:p>
    <w:p w:rsidR="00CE716E" w:rsidRDefault="00CE716E" w:rsidP="00CE716E">
      <w:pPr>
        <w:tabs>
          <w:tab w:val="left" w:pos="1134"/>
        </w:tabs>
        <w:spacing w:line="360" w:lineRule="auto"/>
        <w:jc w:val="both"/>
        <w:rPr>
          <w:rFonts w:cs="Arial"/>
          <w:b/>
          <w:sz w:val="24"/>
          <w:szCs w:val="24"/>
        </w:rPr>
      </w:pPr>
      <w:r>
        <w:rPr>
          <w:rFonts w:cs="Arial"/>
          <w:b/>
          <w:sz w:val="24"/>
          <w:szCs w:val="24"/>
        </w:rPr>
        <w:t>15. CONDIÇÕES DE CONTRATAÇÃO</w:t>
      </w:r>
    </w:p>
    <w:p w:rsidR="00CE716E" w:rsidRDefault="00CE716E" w:rsidP="00CE716E">
      <w:pPr>
        <w:pStyle w:val="NormalWeb"/>
        <w:spacing w:before="0" w:beforeAutospacing="0" w:after="0" w:afterAutospacing="0" w:line="360" w:lineRule="auto"/>
        <w:jc w:val="both"/>
        <w:rPr>
          <w:rFonts w:ascii="Arial" w:hAnsi="Arial" w:cs="Arial"/>
        </w:rPr>
      </w:pPr>
      <w:r>
        <w:rPr>
          <w:rFonts w:ascii="Arial" w:hAnsi="Arial" w:cs="Arial"/>
          <w:b/>
          <w:bCs/>
        </w:rPr>
        <w:t>15.1.</w:t>
      </w:r>
      <w:r>
        <w:rPr>
          <w:rFonts w:ascii="Arial" w:hAnsi="Arial" w:cs="Arial"/>
        </w:rPr>
        <w:t xml:space="preserve"> O licitante vencedor será convocado para assinar a ata de registro de preço e/ou contrato ou para retirar o instrumento equivalente, dentro do prazo de 05 </w:t>
      </w:r>
      <w:proofErr w:type="gramStart"/>
      <w:r>
        <w:rPr>
          <w:rFonts w:ascii="Arial" w:hAnsi="Arial" w:cs="Arial"/>
        </w:rPr>
        <w:t>( cinco</w:t>
      </w:r>
      <w:proofErr w:type="gramEnd"/>
      <w:r>
        <w:rPr>
          <w:rFonts w:ascii="Arial" w:hAnsi="Arial" w:cs="Arial"/>
        </w:rPr>
        <w:t xml:space="preserve"> ) dias úteis, sob pena de decair o direito à contratação, sem prejuízo das sanções previstas neste Edital.</w:t>
      </w:r>
    </w:p>
    <w:p w:rsidR="00CE716E" w:rsidRDefault="00CE716E" w:rsidP="00CE716E">
      <w:pPr>
        <w:pStyle w:val="NormalWeb"/>
        <w:spacing w:before="0" w:beforeAutospacing="0" w:after="0" w:afterAutospacing="0" w:line="360" w:lineRule="auto"/>
        <w:jc w:val="both"/>
        <w:rPr>
          <w:rFonts w:ascii="Arial" w:hAnsi="Arial" w:cs="Arial"/>
        </w:rPr>
      </w:pPr>
      <w:bookmarkStart w:id="46" w:name="art90§1"/>
      <w:bookmarkEnd w:id="46"/>
      <w:r>
        <w:rPr>
          <w:rFonts w:ascii="Arial" w:hAnsi="Arial" w:cs="Arial"/>
          <w:b/>
          <w:bCs/>
        </w:rPr>
        <w:t>15.2.</w:t>
      </w:r>
      <w:r>
        <w:rPr>
          <w:rFonts w:ascii="Arial" w:hAnsi="Arial" w:cs="Arial"/>
        </w:rPr>
        <w:t xml:space="preserve"> O prazo de convocação poderá ser prorrogado 1 (uma) vez, por igual período, mediante solicitação da parte, durante seu transcurso, devidamente justificada, e desde que o motivo apresentado seja aceito pela Administração.</w:t>
      </w:r>
    </w:p>
    <w:p w:rsidR="00CE716E" w:rsidRDefault="00CE716E" w:rsidP="00CE716E">
      <w:pPr>
        <w:pStyle w:val="NormalWeb"/>
        <w:spacing w:before="0" w:beforeAutospacing="0" w:after="0" w:afterAutospacing="0" w:line="360" w:lineRule="auto"/>
        <w:jc w:val="both"/>
        <w:rPr>
          <w:rFonts w:ascii="Arial" w:hAnsi="Arial" w:cs="Arial"/>
        </w:rPr>
      </w:pPr>
      <w:bookmarkStart w:id="47" w:name="art90§2"/>
      <w:bookmarkEnd w:id="47"/>
      <w:r>
        <w:rPr>
          <w:rFonts w:ascii="Arial" w:hAnsi="Arial" w:cs="Arial"/>
          <w:b/>
          <w:bCs/>
        </w:rPr>
        <w:lastRenderedPageBreak/>
        <w:t>15.3.</w:t>
      </w:r>
      <w:r>
        <w:rPr>
          <w:rFonts w:ascii="Arial" w:hAnsi="Arial" w:cs="Arial"/>
        </w:rPr>
        <w:t xml:space="preserve"> Será facultado à Administração, quando o convocado não assinar a ata de registro de preços e/ou contrato ou para retirar o instrumento equivalente no prazo e nas condições estabelecidas neste Edital, convocar os licitantes remanescentes, na ordem de classificação, para assinatura da ata de registro de preços e/ou contrato nas condições propostas pelo licitante vencedor, sem prejuízo da aplicação das sanções cabíveis.</w:t>
      </w:r>
    </w:p>
    <w:p w:rsidR="00CE716E" w:rsidRDefault="00CE716E" w:rsidP="00CE716E">
      <w:pPr>
        <w:pStyle w:val="NormalWeb"/>
        <w:spacing w:before="0" w:beforeAutospacing="0" w:after="0" w:afterAutospacing="0" w:line="360" w:lineRule="auto"/>
        <w:jc w:val="both"/>
        <w:rPr>
          <w:rFonts w:ascii="Arial" w:hAnsi="Arial" w:cs="Arial"/>
        </w:rPr>
      </w:pPr>
      <w:bookmarkStart w:id="48" w:name="art90§3"/>
      <w:bookmarkEnd w:id="48"/>
      <w:r>
        <w:rPr>
          <w:rFonts w:ascii="Arial" w:hAnsi="Arial" w:cs="Arial"/>
          <w:b/>
          <w:bCs/>
        </w:rPr>
        <w:t>15.4.</w:t>
      </w:r>
      <w:r>
        <w:rPr>
          <w:rFonts w:ascii="Arial" w:hAnsi="Arial" w:cs="Arial"/>
        </w:rPr>
        <w:t xml:space="preserve"> Decorrido o prazo de validade da proposta indicado no item 4.1 deste Edital, sem convocação para a contratação, ficarão os licitantes liberados dos compromissos assumidos.</w:t>
      </w:r>
    </w:p>
    <w:p w:rsidR="00CE716E" w:rsidRDefault="00CE716E" w:rsidP="00CE716E">
      <w:pPr>
        <w:pStyle w:val="NormalWeb"/>
        <w:spacing w:before="0" w:beforeAutospacing="0" w:after="0" w:afterAutospacing="0" w:line="360" w:lineRule="auto"/>
        <w:jc w:val="both"/>
        <w:rPr>
          <w:rFonts w:ascii="Arial" w:hAnsi="Arial" w:cs="Arial"/>
        </w:rPr>
      </w:pPr>
      <w:bookmarkStart w:id="49" w:name="art90§4"/>
      <w:bookmarkEnd w:id="49"/>
      <w:r>
        <w:rPr>
          <w:rFonts w:ascii="Arial" w:hAnsi="Arial" w:cs="Arial"/>
          <w:b/>
          <w:bCs/>
        </w:rPr>
        <w:t>15.5.</w:t>
      </w:r>
      <w:r>
        <w:rPr>
          <w:rFonts w:ascii="Arial" w:hAnsi="Arial" w:cs="Arial"/>
        </w:rPr>
        <w:t xml:space="preserve"> Na hipótese de nenhum dos licitantes aceitar a contratação, nos termos do </w:t>
      </w:r>
      <w:r>
        <w:rPr>
          <w:rFonts w:ascii="Arial" w:hAnsi="Arial" w:cs="Arial"/>
          <w:b/>
          <w:bCs/>
        </w:rPr>
        <w:t>15.6.</w:t>
      </w:r>
      <w:r>
        <w:rPr>
          <w:rFonts w:ascii="Arial" w:hAnsi="Arial" w:cs="Arial"/>
        </w:rPr>
        <w:t xml:space="preserve"> </w:t>
      </w:r>
      <w:proofErr w:type="gramStart"/>
      <w:r>
        <w:rPr>
          <w:rFonts w:ascii="Arial" w:hAnsi="Arial" w:cs="Arial"/>
        </w:rPr>
        <w:t>deste</w:t>
      </w:r>
      <w:proofErr w:type="gramEnd"/>
      <w:r>
        <w:rPr>
          <w:rFonts w:ascii="Arial" w:hAnsi="Arial" w:cs="Arial"/>
        </w:rPr>
        <w:t xml:space="preserve"> Edital, a Administração, observados o valor estimado e sua eventual atualização nos termos do edital, poderá:</w:t>
      </w:r>
    </w:p>
    <w:p w:rsidR="00CE716E" w:rsidRDefault="00CE716E" w:rsidP="00CE716E">
      <w:pPr>
        <w:pStyle w:val="NormalWeb"/>
        <w:spacing w:before="0" w:beforeAutospacing="0" w:after="0" w:afterAutospacing="0" w:line="360" w:lineRule="auto"/>
        <w:jc w:val="both"/>
        <w:rPr>
          <w:rFonts w:ascii="Arial" w:hAnsi="Arial" w:cs="Arial"/>
        </w:rPr>
      </w:pPr>
      <w:bookmarkStart w:id="50" w:name="art90§4i"/>
      <w:bookmarkEnd w:id="50"/>
      <w:r>
        <w:rPr>
          <w:rFonts w:ascii="Arial" w:hAnsi="Arial" w:cs="Arial"/>
          <w:b/>
          <w:bCs/>
        </w:rPr>
        <w:t>a)</w:t>
      </w:r>
      <w:r>
        <w:rPr>
          <w:rFonts w:ascii="Arial" w:hAnsi="Arial" w:cs="Arial"/>
        </w:rPr>
        <w:t xml:space="preserve"> convocar os licitantes remanescentes para negociação, na ordem de classificação, com vistas à obtenção de preço melhor, mesmo que acima do preço do adjudicatário;</w:t>
      </w:r>
    </w:p>
    <w:p w:rsidR="00CE716E" w:rsidRDefault="00CE716E" w:rsidP="00CE716E">
      <w:pPr>
        <w:pStyle w:val="NormalWeb"/>
        <w:spacing w:before="0" w:beforeAutospacing="0" w:after="0" w:afterAutospacing="0" w:line="360" w:lineRule="auto"/>
        <w:jc w:val="both"/>
        <w:rPr>
          <w:rFonts w:ascii="Arial" w:hAnsi="Arial" w:cs="Arial"/>
        </w:rPr>
      </w:pPr>
      <w:bookmarkStart w:id="51" w:name="art90§4ii"/>
      <w:bookmarkEnd w:id="51"/>
      <w:r>
        <w:rPr>
          <w:rFonts w:ascii="Arial" w:hAnsi="Arial" w:cs="Arial"/>
          <w:b/>
          <w:bCs/>
        </w:rPr>
        <w:t>b)</w:t>
      </w:r>
      <w:r>
        <w:rPr>
          <w:rFonts w:ascii="Arial" w:hAnsi="Arial" w:cs="Arial"/>
        </w:rPr>
        <w:t xml:space="preserve"> adjudicar e celebrar a ata de registro de preços e/ou contrato nas condições ofertadas pelos licitantes remanescentes, atendida a ordem classificatória, quando frustrada a negociação de melhor condição.</w:t>
      </w:r>
    </w:p>
    <w:p w:rsidR="00CE716E" w:rsidRDefault="00CE716E" w:rsidP="00CE716E">
      <w:pPr>
        <w:pStyle w:val="NormalWeb"/>
        <w:spacing w:before="0" w:beforeAutospacing="0" w:after="0" w:afterAutospacing="0" w:line="360" w:lineRule="auto"/>
        <w:jc w:val="both"/>
        <w:rPr>
          <w:rFonts w:ascii="Arial" w:hAnsi="Arial" w:cs="Arial"/>
        </w:rPr>
      </w:pPr>
      <w:bookmarkStart w:id="52" w:name="art90§5"/>
      <w:bookmarkEnd w:id="52"/>
      <w:r>
        <w:rPr>
          <w:rFonts w:ascii="Arial" w:hAnsi="Arial" w:cs="Arial"/>
          <w:b/>
          <w:bCs/>
        </w:rPr>
        <w:t>15.7.</w:t>
      </w:r>
      <w:r>
        <w:rPr>
          <w:rFonts w:ascii="Arial" w:hAnsi="Arial" w:cs="Arial"/>
        </w:rPr>
        <w:t xml:space="preserve"> A recusa injustificada do adjudicatário em assinar a ata de registro de preços e/ou contrato ou em aceitar ou retirar o instrumento equivalente no prazo estabelecido pela Administração caracterizará o descumprimento total da obrigação assumida e o sujeitará às penalidades legalmente estabelecidas, previstas neste edital, e à imediata perda da garantia de proposta em favor do órgão licitante.</w:t>
      </w:r>
    </w:p>
    <w:p w:rsidR="00CE716E" w:rsidRDefault="00CE716E" w:rsidP="00CE716E">
      <w:pPr>
        <w:pStyle w:val="NormalWeb"/>
        <w:spacing w:before="0" w:beforeAutospacing="0" w:after="0" w:afterAutospacing="0" w:line="360" w:lineRule="auto"/>
        <w:jc w:val="both"/>
        <w:rPr>
          <w:rFonts w:ascii="Arial" w:hAnsi="Arial" w:cs="Arial"/>
        </w:rPr>
      </w:pPr>
    </w:p>
    <w:p w:rsidR="00CE716E" w:rsidRDefault="00CE716E" w:rsidP="00CE716E">
      <w:pPr>
        <w:tabs>
          <w:tab w:val="left" w:pos="1134"/>
        </w:tabs>
        <w:spacing w:line="360" w:lineRule="auto"/>
        <w:jc w:val="both"/>
        <w:rPr>
          <w:rFonts w:cs="Arial"/>
          <w:b/>
          <w:sz w:val="24"/>
          <w:szCs w:val="24"/>
        </w:rPr>
      </w:pPr>
      <w:r>
        <w:rPr>
          <w:rFonts w:cs="Arial"/>
          <w:b/>
          <w:sz w:val="24"/>
          <w:szCs w:val="24"/>
        </w:rPr>
        <w:t>16. VIGÊNCIA DA ATA DE REGISTRO DE PREÇOS E/OU CONTRATO</w:t>
      </w:r>
    </w:p>
    <w:p w:rsidR="00CE716E" w:rsidRDefault="00CE716E" w:rsidP="00CE716E">
      <w:pPr>
        <w:spacing w:line="360" w:lineRule="auto"/>
        <w:jc w:val="both"/>
        <w:rPr>
          <w:rFonts w:cs="Arial"/>
          <w:sz w:val="24"/>
          <w:szCs w:val="24"/>
        </w:rPr>
      </w:pPr>
      <w:r>
        <w:rPr>
          <w:rFonts w:cs="Arial"/>
          <w:b/>
          <w:bCs/>
          <w:sz w:val="24"/>
          <w:szCs w:val="24"/>
        </w:rPr>
        <w:t>16.1.</w:t>
      </w:r>
      <w:r>
        <w:rPr>
          <w:rFonts w:cs="Arial"/>
          <w:sz w:val="24"/>
          <w:szCs w:val="24"/>
        </w:rPr>
        <w:t xml:space="preserve"> O termo inicial de vigência será o de sua assinatura e o final ocorrerá em 12 </w:t>
      </w:r>
      <w:proofErr w:type="gramStart"/>
      <w:r>
        <w:rPr>
          <w:rFonts w:cs="Arial"/>
          <w:sz w:val="24"/>
          <w:szCs w:val="24"/>
        </w:rPr>
        <w:t>( doze</w:t>
      </w:r>
      <w:proofErr w:type="gramEnd"/>
      <w:r>
        <w:rPr>
          <w:rFonts w:cs="Arial"/>
          <w:sz w:val="24"/>
          <w:szCs w:val="24"/>
        </w:rPr>
        <w:t xml:space="preserve"> ) meses, podendo ser prorrogado pelo mesmo período.</w:t>
      </w:r>
    </w:p>
    <w:p w:rsidR="00CE716E" w:rsidRDefault="00CE716E" w:rsidP="00CE716E">
      <w:pPr>
        <w:spacing w:line="360" w:lineRule="auto"/>
        <w:jc w:val="both"/>
        <w:rPr>
          <w:rFonts w:cs="Arial"/>
          <w:sz w:val="24"/>
          <w:szCs w:val="24"/>
        </w:rPr>
      </w:pPr>
      <w:r>
        <w:rPr>
          <w:rFonts w:cs="Arial"/>
          <w:b/>
          <w:bCs/>
          <w:sz w:val="24"/>
          <w:szCs w:val="24"/>
        </w:rPr>
        <w:lastRenderedPageBreak/>
        <w:t>16.2.</w:t>
      </w:r>
      <w:r>
        <w:rPr>
          <w:rFonts w:cs="Arial"/>
          <w:sz w:val="24"/>
          <w:szCs w:val="24"/>
        </w:rPr>
        <w:t xml:space="preserve"> </w:t>
      </w:r>
      <w:r>
        <w:rPr>
          <w:rFonts w:cs="Arial"/>
          <w:color w:val="000000"/>
          <w:sz w:val="24"/>
          <w:szCs w:val="24"/>
        </w:rPr>
        <w:t xml:space="preserve">O contrato decorrente da ata de registro de preços terá sua vigência estabelecida em conformidade com as disposições nela contidas, respeitados os limites dispostos no art. 106 e 107 da Lei Federal </w:t>
      </w:r>
      <w:proofErr w:type="gramStart"/>
      <w:r>
        <w:rPr>
          <w:rFonts w:cs="Arial"/>
          <w:color w:val="000000"/>
          <w:sz w:val="24"/>
          <w:szCs w:val="24"/>
        </w:rPr>
        <w:t>n.º</w:t>
      </w:r>
      <w:proofErr w:type="gramEnd"/>
      <w:r>
        <w:rPr>
          <w:rFonts w:cs="Arial"/>
          <w:color w:val="000000"/>
          <w:sz w:val="24"/>
          <w:szCs w:val="24"/>
        </w:rPr>
        <w:t xml:space="preserve"> 14.133/2021.</w:t>
      </w:r>
    </w:p>
    <w:p w:rsidR="00CE716E" w:rsidRDefault="00CE716E" w:rsidP="00CE716E">
      <w:pPr>
        <w:spacing w:line="360" w:lineRule="auto"/>
        <w:rPr>
          <w:rFonts w:cs="Arial"/>
          <w:b/>
          <w:sz w:val="24"/>
          <w:szCs w:val="24"/>
        </w:rPr>
      </w:pPr>
    </w:p>
    <w:p w:rsidR="00CE716E" w:rsidRDefault="00CE716E" w:rsidP="00CE716E">
      <w:pPr>
        <w:spacing w:line="360" w:lineRule="auto"/>
        <w:jc w:val="both"/>
        <w:rPr>
          <w:rFonts w:cs="Arial"/>
          <w:b/>
          <w:bCs/>
          <w:sz w:val="24"/>
          <w:szCs w:val="24"/>
        </w:rPr>
      </w:pPr>
      <w:r>
        <w:rPr>
          <w:rFonts w:cs="Arial"/>
          <w:b/>
          <w:bCs/>
          <w:sz w:val="24"/>
          <w:szCs w:val="24"/>
        </w:rPr>
        <w:t>17. DAS HIPÓTESES DE CANCELAMENTO DA ATA:</w:t>
      </w:r>
    </w:p>
    <w:p w:rsidR="00CE716E" w:rsidRDefault="00CE716E" w:rsidP="00CE716E">
      <w:pPr>
        <w:spacing w:line="360" w:lineRule="auto"/>
        <w:jc w:val="both"/>
        <w:rPr>
          <w:rFonts w:cs="Arial"/>
          <w:sz w:val="24"/>
          <w:szCs w:val="24"/>
        </w:rPr>
      </w:pPr>
      <w:r>
        <w:rPr>
          <w:rFonts w:cs="Arial"/>
          <w:b/>
          <w:bCs/>
          <w:sz w:val="24"/>
          <w:szCs w:val="24"/>
        </w:rPr>
        <w:t>17.1.</w:t>
      </w:r>
      <w:r>
        <w:rPr>
          <w:rFonts w:cs="Arial"/>
          <w:sz w:val="24"/>
          <w:szCs w:val="24"/>
        </w:rPr>
        <w:t xml:space="preserve"> As hipóteses de cancelamento da ata estão dispostas no regulamento.</w:t>
      </w:r>
    </w:p>
    <w:p w:rsidR="00CE716E" w:rsidRDefault="00CE716E" w:rsidP="00CE716E">
      <w:pPr>
        <w:spacing w:line="360" w:lineRule="auto"/>
        <w:jc w:val="both"/>
        <w:rPr>
          <w:rFonts w:cs="Arial"/>
          <w:sz w:val="24"/>
          <w:szCs w:val="24"/>
        </w:rPr>
      </w:pPr>
      <w:r>
        <w:rPr>
          <w:rFonts w:cs="Arial"/>
          <w:b/>
          <w:bCs/>
          <w:sz w:val="24"/>
          <w:szCs w:val="24"/>
        </w:rPr>
        <w:t>17.2.</w:t>
      </w:r>
      <w:r>
        <w:rPr>
          <w:rFonts w:cs="Arial"/>
          <w:sz w:val="24"/>
          <w:szCs w:val="24"/>
        </w:rPr>
        <w:t xml:space="preserve"> No caso de cancelamento da ata, em que o fornecedor não tiver tido ingerência sobre a descontinuidade do produto no mercado, não será penalizado, contudo deverá ser feita a reclassificação da ata.</w:t>
      </w:r>
    </w:p>
    <w:p w:rsidR="00CE716E" w:rsidRDefault="00CE716E" w:rsidP="00CE716E">
      <w:pPr>
        <w:spacing w:line="360" w:lineRule="auto"/>
        <w:jc w:val="both"/>
        <w:rPr>
          <w:rFonts w:cs="Arial"/>
          <w:sz w:val="24"/>
          <w:szCs w:val="24"/>
        </w:rPr>
      </w:pPr>
      <w:r>
        <w:rPr>
          <w:rFonts w:cs="Arial"/>
          <w:b/>
          <w:bCs/>
          <w:sz w:val="24"/>
          <w:szCs w:val="24"/>
        </w:rPr>
        <w:t>17.3.</w:t>
      </w:r>
      <w:r>
        <w:rPr>
          <w:rFonts w:cs="Arial"/>
          <w:sz w:val="24"/>
          <w:szCs w:val="24"/>
        </w:rPr>
        <w:t xml:space="preserve"> Se, no decorrer da contratação, o fornecedor apresentar pedido de cancelamento dos preços registrados, deverá apresentar justificativas pela não continuidade do fornecimento, sem prejuízo de aplicação das sanções dispostas no item 13 deste edital. </w:t>
      </w:r>
    </w:p>
    <w:p w:rsidR="00CE716E" w:rsidRDefault="00CE716E" w:rsidP="00CE716E">
      <w:pPr>
        <w:spacing w:line="360" w:lineRule="auto"/>
        <w:jc w:val="both"/>
        <w:rPr>
          <w:rFonts w:cs="Arial"/>
          <w:sz w:val="24"/>
          <w:szCs w:val="24"/>
        </w:rPr>
      </w:pPr>
    </w:p>
    <w:p w:rsidR="00CE716E" w:rsidRDefault="00CE716E" w:rsidP="00CE716E">
      <w:pPr>
        <w:spacing w:line="360" w:lineRule="auto"/>
        <w:jc w:val="both"/>
        <w:rPr>
          <w:rFonts w:cs="Arial"/>
          <w:b/>
          <w:bCs/>
          <w:sz w:val="24"/>
          <w:szCs w:val="24"/>
        </w:rPr>
      </w:pPr>
      <w:r>
        <w:rPr>
          <w:rFonts w:cs="Arial"/>
          <w:b/>
          <w:bCs/>
          <w:sz w:val="24"/>
          <w:szCs w:val="24"/>
        </w:rPr>
        <w:t>18. DAS CONDIÇÕES PARA ALTERAÇÃO DOS PREÇOS REGISTRADOS:</w:t>
      </w:r>
    </w:p>
    <w:p w:rsidR="00CE716E" w:rsidRDefault="00CE716E" w:rsidP="00CE716E">
      <w:pPr>
        <w:spacing w:line="360" w:lineRule="auto"/>
        <w:jc w:val="both"/>
        <w:rPr>
          <w:rFonts w:cs="Arial"/>
          <w:color w:val="000000"/>
          <w:sz w:val="24"/>
          <w:szCs w:val="24"/>
        </w:rPr>
      </w:pPr>
      <w:r>
        <w:rPr>
          <w:rFonts w:cs="Arial"/>
          <w:b/>
          <w:bCs/>
          <w:sz w:val="24"/>
          <w:szCs w:val="24"/>
        </w:rPr>
        <w:t>18.1.</w:t>
      </w:r>
      <w:r>
        <w:rPr>
          <w:rFonts w:cs="Arial"/>
          <w:sz w:val="24"/>
          <w:szCs w:val="24"/>
        </w:rPr>
        <w:t xml:space="preserve"> Os preços poderão ser alterados, na forma de reajuste em sentido estrito, para </w:t>
      </w:r>
      <w:r>
        <w:rPr>
          <w:rFonts w:cs="Arial"/>
          <w:color w:val="000000"/>
          <w:sz w:val="24"/>
          <w:szCs w:val="24"/>
        </w:rPr>
        <w:t>a manutenção do equilíbrio econômico-financeiro consistente na aplicação do índice de correção monetária previsto na ata, que deve retratar a variação efetiva do custo de produção, admitida a adoção de índices específicos ou setoriais, observado o princípio da anualidade.</w:t>
      </w:r>
    </w:p>
    <w:p w:rsidR="00CE716E" w:rsidRDefault="00CE716E" w:rsidP="00CE716E">
      <w:pPr>
        <w:spacing w:line="360" w:lineRule="auto"/>
        <w:jc w:val="both"/>
        <w:rPr>
          <w:rFonts w:cs="Arial"/>
          <w:color w:val="000000"/>
          <w:sz w:val="24"/>
          <w:szCs w:val="24"/>
        </w:rPr>
      </w:pPr>
      <w:r>
        <w:rPr>
          <w:rFonts w:cs="Arial"/>
          <w:b/>
          <w:bCs/>
          <w:color w:val="000000"/>
          <w:sz w:val="24"/>
          <w:szCs w:val="24"/>
        </w:rPr>
        <w:t>18.2</w:t>
      </w:r>
      <w:r>
        <w:rPr>
          <w:rFonts w:cs="Arial"/>
          <w:color w:val="000000"/>
          <w:sz w:val="24"/>
          <w:szCs w:val="24"/>
        </w:rPr>
        <w:t>. Os preços registrados poderão ser reequilibrados, desde que haja o convencimento do fiscal com base na documentação apresentada pela contratada, sob pena de indeferimento do pedido.</w:t>
      </w:r>
    </w:p>
    <w:p w:rsidR="00CE716E" w:rsidRDefault="00CE716E" w:rsidP="00CE716E">
      <w:pPr>
        <w:spacing w:line="360" w:lineRule="auto"/>
        <w:jc w:val="both"/>
        <w:rPr>
          <w:rFonts w:cs="Arial"/>
          <w:color w:val="000000"/>
          <w:sz w:val="24"/>
          <w:szCs w:val="24"/>
        </w:rPr>
      </w:pPr>
      <w:r>
        <w:rPr>
          <w:rFonts w:cs="Arial"/>
          <w:b/>
          <w:bCs/>
          <w:color w:val="000000"/>
          <w:sz w:val="24"/>
          <w:szCs w:val="24"/>
        </w:rPr>
        <w:t>18.3</w:t>
      </w:r>
      <w:r>
        <w:rPr>
          <w:rFonts w:cs="Arial"/>
          <w:color w:val="000000"/>
          <w:sz w:val="24"/>
          <w:szCs w:val="24"/>
        </w:rPr>
        <w:t>. A resposta aos pedidos de revisão dos custos da ata, deverão ser feitas em até 15 (quinze) dias.</w:t>
      </w:r>
    </w:p>
    <w:p w:rsidR="00CE716E" w:rsidRDefault="00CE716E" w:rsidP="00CE716E">
      <w:pPr>
        <w:spacing w:line="360" w:lineRule="auto"/>
        <w:jc w:val="both"/>
        <w:rPr>
          <w:rFonts w:cs="Arial"/>
          <w:color w:val="000000"/>
          <w:sz w:val="24"/>
          <w:szCs w:val="24"/>
        </w:rPr>
      </w:pPr>
      <w:r>
        <w:rPr>
          <w:rFonts w:cs="Arial"/>
          <w:b/>
          <w:bCs/>
          <w:color w:val="000000"/>
          <w:sz w:val="24"/>
          <w:szCs w:val="24"/>
        </w:rPr>
        <w:t>18.4.</w:t>
      </w:r>
      <w:r>
        <w:rPr>
          <w:rFonts w:cs="Arial"/>
          <w:color w:val="000000"/>
          <w:sz w:val="24"/>
          <w:szCs w:val="24"/>
        </w:rPr>
        <w:t xml:space="preserve"> No caso em que a Administração se convencer pelo deferimento da revisão, deverá ser feito de forma concomitante pesquisa de preços de mercado para verificação de que os preços registrados pelas outras empresas na ata, </w:t>
      </w:r>
      <w:r>
        <w:rPr>
          <w:rFonts w:cs="Arial"/>
          <w:color w:val="000000"/>
          <w:sz w:val="24"/>
          <w:szCs w:val="24"/>
        </w:rPr>
        <w:lastRenderedPageBreak/>
        <w:t xml:space="preserve">momento em que deverá ser demonstrada a vantagem da Administração, em que conceder os novos valores à contratada. </w:t>
      </w:r>
    </w:p>
    <w:p w:rsidR="00CE716E" w:rsidRDefault="00CE716E" w:rsidP="00CE716E">
      <w:pPr>
        <w:spacing w:line="360" w:lineRule="auto"/>
        <w:jc w:val="both"/>
        <w:rPr>
          <w:rFonts w:cs="Arial"/>
          <w:color w:val="000000"/>
          <w:sz w:val="24"/>
          <w:szCs w:val="24"/>
        </w:rPr>
      </w:pPr>
      <w:r>
        <w:rPr>
          <w:rFonts w:cs="Arial"/>
          <w:b/>
          <w:bCs/>
          <w:color w:val="000000"/>
          <w:sz w:val="24"/>
          <w:szCs w:val="24"/>
        </w:rPr>
        <w:t>18.5.</w:t>
      </w:r>
      <w:r>
        <w:rPr>
          <w:rFonts w:cs="Arial"/>
          <w:color w:val="000000"/>
          <w:sz w:val="24"/>
          <w:szCs w:val="24"/>
        </w:rPr>
        <w:t xml:space="preserve"> No caso de o preço revisado ficar maior que o do segundo colocado, será negada a revisão e reclassificada a ata de registro de preços.  </w:t>
      </w:r>
    </w:p>
    <w:p w:rsidR="00CE716E" w:rsidRDefault="00CE716E" w:rsidP="00CE716E">
      <w:pPr>
        <w:spacing w:line="360" w:lineRule="auto"/>
        <w:jc w:val="both"/>
        <w:rPr>
          <w:rFonts w:cs="Arial"/>
          <w:sz w:val="24"/>
          <w:szCs w:val="24"/>
        </w:rPr>
      </w:pPr>
    </w:p>
    <w:p w:rsidR="00CE716E" w:rsidRDefault="00CE716E" w:rsidP="00CE716E">
      <w:pPr>
        <w:spacing w:line="360" w:lineRule="auto"/>
        <w:jc w:val="both"/>
        <w:rPr>
          <w:rFonts w:cs="Arial"/>
          <w:b/>
          <w:bCs/>
          <w:sz w:val="24"/>
          <w:szCs w:val="24"/>
        </w:rPr>
      </w:pPr>
      <w:r>
        <w:rPr>
          <w:rFonts w:cs="Arial"/>
          <w:b/>
          <w:bCs/>
          <w:sz w:val="24"/>
          <w:szCs w:val="24"/>
        </w:rPr>
        <w:t>19. FORMALIZAÇÃO DO CADASTRO RESERVA:</w:t>
      </w:r>
    </w:p>
    <w:p w:rsidR="00CE716E" w:rsidRDefault="00CE716E" w:rsidP="00CE716E">
      <w:pPr>
        <w:spacing w:line="360" w:lineRule="auto"/>
        <w:jc w:val="both"/>
        <w:rPr>
          <w:rFonts w:cs="Arial"/>
          <w:color w:val="000000"/>
          <w:sz w:val="24"/>
          <w:szCs w:val="24"/>
          <w:lang w:eastAsia="pt-BR"/>
        </w:rPr>
      </w:pPr>
      <w:r>
        <w:rPr>
          <w:rFonts w:cs="Arial"/>
          <w:b/>
          <w:bCs/>
          <w:sz w:val="24"/>
          <w:szCs w:val="24"/>
        </w:rPr>
        <w:t xml:space="preserve">19.1. </w:t>
      </w:r>
      <w:r>
        <w:rPr>
          <w:rFonts w:cs="Arial"/>
          <w:sz w:val="24"/>
          <w:szCs w:val="24"/>
        </w:rPr>
        <w:t>S</w:t>
      </w:r>
      <w:r>
        <w:rPr>
          <w:rFonts w:cs="Arial"/>
          <w:color w:val="000000"/>
          <w:sz w:val="24"/>
          <w:szCs w:val="24"/>
          <w:lang w:eastAsia="pt-BR"/>
        </w:rPr>
        <w:t>erá incluído na ata, na forma de anexo, o registro:</w:t>
      </w:r>
    </w:p>
    <w:p w:rsidR="00CE716E" w:rsidRDefault="00CE716E" w:rsidP="00CE716E">
      <w:pPr>
        <w:spacing w:line="360" w:lineRule="auto"/>
        <w:jc w:val="both"/>
        <w:rPr>
          <w:rFonts w:cs="Arial"/>
          <w:color w:val="000000"/>
          <w:sz w:val="24"/>
          <w:szCs w:val="24"/>
          <w:lang w:eastAsia="pt-BR"/>
        </w:rPr>
      </w:pPr>
      <w:r>
        <w:rPr>
          <w:rFonts w:cs="Arial"/>
          <w:b/>
          <w:bCs/>
          <w:color w:val="000000"/>
          <w:sz w:val="24"/>
          <w:szCs w:val="24"/>
          <w:lang w:eastAsia="pt-BR"/>
        </w:rPr>
        <w:t>a)</w:t>
      </w:r>
      <w:r>
        <w:rPr>
          <w:rFonts w:cs="Arial"/>
          <w:color w:val="000000"/>
          <w:sz w:val="24"/>
          <w:szCs w:val="24"/>
          <w:lang w:eastAsia="pt-BR"/>
        </w:rPr>
        <w:t xml:space="preserve"> dos licitantes ou dos fornecedores que aceitarem cotar os bens, as obras ou os serviços com preços iguais aos do adjudicatário, observada a classificação na licitação; e</w:t>
      </w:r>
    </w:p>
    <w:p w:rsidR="00CE716E" w:rsidRDefault="00CE716E" w:rsidP="00CE716E">
      <w:pPr>
        <w:jc w:val="both"/>
        <w:rPr>
          <w:rFonts w:cs="Arial"/>
          <w:color w:val="000000"/>
          <w:sz w:val="24"/>
          <w:szCs w:val="24"/>
          <w:lang w:eastAsia="pt-BR"/>
        </w:rPr>
      </w:pPr>
      <w:r>
        <w:rPr>
          <w:rFonts w:cs="Arial"/>
          <w:b/>
          <w:bCs/>
          <w:color w:val="000000"/>
          <w:sz w:val="24"/>
          <w:szCs w:val="24"/>
          <w:lang w:eastAsia="pt-BR"/>
        </w:rPr>
        <w:t>b)</w:t>
      </w:r>
      <w:r>
        <w:rPr>
          <w:rFonts w:cs="Arial"/>
          <w:color w:val="000000"/>
          <w:sz w:val="24"/>
          <w:szCs w:val="24"/>
          <w:lang w:eastAsia="pt-BR"/>
        </w:rPr>
        <w:t xml:space="preserve"> dos licitantes ou dos fornecedores que mantiverem sua proposta original.</w:t>
      </w:r>
    </w:p>
    <w:p w:rsidR="00CE716E" w:rsidRDefault="00CE716E" w:rsidP="00CE716E">
      <w:pPr>
        <w:spacing w:before="100" w:beforeAutospacing="1" w:line="360" w:lineRule="auto"/>
        <w:jc w:val="both"/>
        <w:rPr>
          <w:rFonts w:cs="Arial"/>
          <w:color w:val="000000"/>
          <w:sz w:val="24"/>
          <w:szCs w:val="24"/>
          <w:lang w:eastAsia="pt-BR"/>
        </w:rPr>
      </w:pPr>
      <w:r>
        <w:rPr>
          <w:rFonts w:cs="Arial"/>
          <w:b/>
          <w:bCs/>
          <w:sz w:val="24"/>
          <w:szCs w:val="24"/>
        </w:rPr>
        <w:t>19.2.</w:t>
      </w:r>
      <w:r>
        <w:rPr>
          <w:rFonts w:cs="Arial"/>
          <w:color w:val="000000"/>
          <w:sz w:val="24"/>
          <w:szCs w:val="24"/>
          <w:lang w:eastAsia="pt-BR"/>
        </w:rPr>
        <w:t xml:space="preserve"> </w:t>
      </w:r>
      <w:proofErr w:type="gramStart"/>
      <w:r>
        <w:rPr>
          <w:rFonts w:cs="Arial"/>
          <w:color w:val="000000"/>
          <w:sz w:val="24"/>
          <w:szCs w:val="24"/>
          <w:lang w:eastAsia="pt-BR"/>
        </w:rPr>
        <w:t>será</w:t>
      </w:r>
      <w:proofErr w:type="gramEnd"/>
      <w:r>
        <w:rPr>
          <w:rFonts w:cs="Arial"/>
          <w:color w:val="000000"/>
          <w:sz w:val="24"/>
          <w:szCs w:val="24"/>
          <w:lang w:eastAsia="pt-BR"/>
        </w:rPr>
        <w:t xml:space="preserve"> respeitada, nas contratações, a ordem de classificação dos licitantes ou fornecedores registrados na ata.</w:t>
      </w:r>
    </w:p>
    <w:p w:rsidR="00CE716E" w:rsidRDefault="00CE716E" w:rsidP="00CE716E">
      <w:pPr>
        <w:spacing w:line="360" w:lineRule="auto"/>
        <w:jc w:val="both"/>
        <w:rPr>
          <w:rFonts w:cs="Arial"/>
          <w:color w:val="000000"/>
          <w:sz w:val="24"/>
          <w:szCs w:val="24"/>
          <w:lang w:eastAsia="pt-BR"/>
        </w:rPr>
      </w:pPr>
      <w:r>
        <w:rPr>
          <w:rFonts w:cs="Arial"/>
          <w:b/>
          <w:bCs/>
          <w:color w:val="000000"/>
          <w:sz w:val="24"/>
          <w:szCs w:val="24"/>
          <w:lang w:eastAsia="pt-BR"/>
        </w:rPr>
        <w:t>19.3.</w:t>
      </w:r>
      <w:r>
        <w:rPr>
          <w:rFonts w:cs="Arial"/>
          <w:color w:val="000000"/>
          <w:sz w:val="24"/>
          <w:szCs w:val="24"/>
          <w:lang w:eastAsia="pt-BR"/>
        </w:rPr>
        <w:t xml:space="preserve"> O registro a que se refere o item 19.1 tem por objetivo a formação de cadastro de reserva, para o caso de impossibilidade de atendimento pelo signatário da ata.</w:t>
      </w:r>
    </w:p>
    <w:p w:rsidR="00CE716E" w:rsidRDefault="00CE716E" w:rsidP="00CE716E">
      <w:pPr>
        <w:spacing w:before="100" w:beforeAutospacing="1" w:line="360" w:lineRule="auto"/>
        <w:jc w:val="both"/>
        <w:rPr>
          <w:rFonts w:cs="Arial"/>
          <w:color w:val="000000"/>
          <w:sz w:val="24"/>
          <w:szCs w:val="24"/>
          <w:lang w:eastAsia="pt-BR"/>
        </w:rPr>
      </w:pPr>
      <w:r>
        <w:rPr>
          <w:rFonts w:cs="Arial"/>
          <w:b/>
          <w:bCs/>
          <w:color w:val="000000"/>
          <w:sz w:val="24"/>
          <w:szCs w:val="24"/>
          <w:lang w:eastAsia="pt-BR"/>
        </w:rPr>
        <w:t>19.4.</w:t>
      </w:r>
      <w:r>
        <w:rPr>
          <w:rFonts w:cs="Arial"/>
          <w:color w:val="000000"/>
          <w:sz w:val="24"/>
          <w:szCs w:val="24"/>
          <w:lang w:eastAsia="pt-BR"/>
        </w:rPr>
        <w:t> Para fins da ordem de classificação, os licitantes ou fornecedores de que trata a alínea “a” do item 19.1 antecederão aqueles de que trata a alínea “b” do referido item.</w:t>
      </w:r>
    </w:p>
    <w:p w:rsidR="00CE716E" w:rsidRDefault="00CE716E" w:rsidP="00CE716E">
      <w:pPr>
        <w:spacing w:before="100" w:beforeAutospacing="1" w:line="360" w:lineRule="auto"/>
        <w:jc w:val="both"/>
        <w:rPr>
          <w:rFonts w:cs="Arial"/>
          <w:color w:val="000000"/>
          <w:sz w:val="16"/>
          <w:szCs w:val="16"/>
          <w:lang w:eastAsia="pt-BR"/>
        </w:rPr>
      </w:pPr>
    </w:p>
    <w:p w:rsidR="00CE716E" w:rsidRDefault="00CE716E" w:rsidP="00CE716E">
      <w:pPr>
        <w:spacing w:line="360" w:lineRule="auto"/>
        <w:jc w:val="both"/>
        <w:rPr>
          <w:rFonts w:cs="Arial"/>
          <w:b/>
          <w:bCs/>
          <w:sz w:val="24"/>
          <w:szCs w:val="24"/>
        </w:rPr>
      </w:pPr>
      <w:r>
        <w:rPr>
          <w:rFonts w:cs="Arial"/>
          <w:b/>
          <w:bCs/>
          <w:sz w:val="24"/>
          <w:szCs w:val="24"/>
        </w:rPr>
        <w:t>20. DA CARONA:</w:t>
      </w:r>
    </w:p>
    <w:p w:rsidR="00CE716E" w:rsidRDefault="00CE716E" w:rsidP="00CE716E">
      <w:pPr>
        <w:pStyle w:val="NormalWeb"/>
        <w:spacing w:before="0" w:beforeAutospacing="0" w:after="0" w:afterAutospacing="0" w:line="360" w:lineRule="auto"/>
        <w:jc w:val="both"/>
        <w:rPr>
          <w:color w:val="000000"/>
        </w:rPr>
      </w:pPr>
      <w:r>
        <w:rPr>
          <w:rFonts w:ascii="Arial" w:hAnsi="Arial" w:cs="Arial"/>
          <w:b/>
          <w:bCs/>
          <w:color w:val="000000"/>
        </w:rPr>
        <w:t>20.1.</w:t>
      </w:r>
      <w:r>
        <w:rPr>
          <w:rFonts w:ascii="Arial" w:hAnsi="Arial" w:cs="Arial"/>
          <w:color w:val="000000"/>
        </w:rPr>
        <w:t xml:space="preserve"> Se outros órgãos ou entidades não participarem do procedimento, eles poderão aderir à ata de registro de preços na condição de não participantes, observados os seguintes requisitos:</w:t>
      </w:r>
    </w:p>
    <w:p w:rsidR="00CE716E" w:rsidRDefault="00CE716E" w:rsidP="00CE716E">
      <w:pPr>
        <w:pStyle w:val="NormalWeb"/>
        <w:spacing w:before="0" w:beforeAutospacing="0" w:after="0" w:afterAutospacing="0" w:line="360" w:lineRule="auto"/>
        <w:jc w:val="both"/>
        <w:rPr>
          <w:color w:val="000000"/>
        </w:rPr>
      </w:pPr>
      <w:bookmarkStart w:id="53" w:name="art86§2i"/>
      <w:bookmarkEnd w:id="53"/>
      <w:r>
        <w:rPr>
          <w:rFonts w:ascii="Arial" w:hAnsi="Arial" w:cs="Arial"/>
          <w:b/>
          <w:bCs/>
          <w:color w:val="000000"/>
        </w:rPr>
        <w:t>a)</w:t>
      </w:r>
      <w:r>
        <w:rPr>
          <w:rFonts w:ascii="Arial" w:hAnsi="Arial" w:cs="Arial"/>
          <w:color w:val="000000"/>
        </w:rPr>
        <w:t xml:space="preserve"> - apresentação de justificativa da vantagem da adesão, inclusive em situações de provável desabastecimento ou descontinuidade de serviço público;</w:t>
      </w:r>
    </w:p>
    <w:p w:rsidR="00CE716E" w:rsidRDefault="00CE716E" w:rsidP="00CE716E">
      <w:pPr>
        <w:pStyle w:val="NormalWeb"/>
        <w:spacing w:before="0" w:beforeAutospacing="0" w:after="0" w:afterAutospacing="0" w:line="360" w:lineRule="auto"/>
        <w:jc w:val="both"/>
      </w:pPr>
      <w:bookmarkStart w:id="54" w:name="art86§2ii"/>
      <w:bookmarkEnd w:id="54"/>
      <w:r>
        <w:rPr>
          <w:rFonts w:ascii="Arial" w:hAnsi="Arial" w:cs="Arial"/>
          <w:b/>
          <w:bCs/>
          <w:color w:val="000000"/>
        </w:rPr>
        <w:lastRenderedPageBreak/>
        <w:t>b)</w:t>
      </w:r>
      <w:r>
        <w:rPr>
          <w:rFonts w:ascii="Arial" w:hAnsi="Arial" w:cs="Arial"/>
          <w:color w:val="000000"/>
        </w:rPr>
        <w:t xml:space="preserve"> - demonstração de que os valores registrados estão compatíveis com os valores praticados pelo </w:t>
      </w:r>
      <w:r>
        <w:rPr>
          <w:rFonts w:ascii="Arial" w:hAnsi="Arial" w:cs="Arial"/>
        </w:rPr>
        <w:t>mercado na forma do </w:t>
      </w:r>
      <w:hyperlink r:id="rId9" w:anchor="art23" w:history="1">
        <w:r>
          <w:rPr>
            <w:rStyle w:val="Hyperlink"/>
            <w:rFonts w:ascii="Arial" w:hAnsi="Arial" w:cs="Arial"/>
          </w:rPr>
          <w:t>art. 23 da Lei</w:t>
        </w:r>
      </w:hyperlink>
      <w:r>
        <w:rPr>
          <w:rFonts w:ascii="Arial" w:hAnsi="Arial" w:cs="Arial"/>
        </w:rPr>
        <w:t xml:space="preserve"> Federal n.º 14.133/2021;</w:t>
      </w:r>
    </w:p>
    <w:p w:rsidR="00CE716E" w:rsidRDefault="00CE716E" w:rsidP="00CE716E">
      <w:pPr>
        <w:pStyle w:val="NormalWeb"/>
        <w:spacing w:before="0" w:beforeAutospacing="0" w:after="0" w:afterAutospacing="0" w:line="360" w:lineRule="auto"/>
        <w:jc w:val="both"/>
        <w:rPr>
          <w:color w:val="000000"/>
        </w:rPr>
      </w:pPr>
      <w:bookmarkStart w:id="55" w:name="art86§2iii"/>
      <w:bookmarkEnd w:id="55"/>
      <w:r>
        <w:rPr>
          <w:rFonts w:ascii="Arial" w:hAnsi="Arial" w:cs="Arial"/>
          <w:b/>
          <w:bCs/>
          <w:color w:val="000000"/>
        </w:rPr>
        <w:t>c)</w:t>
      </w:r>
      <w:r>
        <w:rPr>
          <w:rFonts w:ascii="Arial" w:hAnsi="Arial" w:cs="Arial"/>
          <w:color w:val="000000"/>
        </w:rPr>
        <w:t xml:space="preserve"> - prévias consulta e aceitação do órgão ou entidade gerenciadora e do fornecedor.</w:t>
      </w:r>
    </w:p>
    <w:p w:rsidR="00CE716E" w:rsidRDefault="00CE716E" w:rsidP="00CE716E">
      <w:pPr>
        <w:pStyle w:val="NormalWeb"/>
        <w:spacing w:before="0" w:beforeAutospacing="0" w:after="0" w:afterAutospacing="0" w:line="360" w:lineRule="auto"/>
        <w:jc w:val="both"/>
        <w:rPr>
          <w:color w:val="000000"/>
        </w:rPr>
      </w:pPr>
      <w:bookmarkStart w:id="56" w:name="art86§4"/>
      <w:bookmarkEnd w:id="56"/>
      <w:r>
        <w:rPr>
          <w:rFonts w:ascii="Arial" w:hAnsi="Arial" w:cs="Arial"/>
          <w:b/>
          <w:bCs/>
          <w:color w:val="000000"/>
        </w:rPr>
        <w:t>20.2.</w:t>
      </w:r>
      <w:r>
        <w:rPr>
          <w:rFonts w:ascii="Arial" w:hAnsi="Arial" w:cs="Arial"/>
          <w:color w:val="000000"/>
        </w:rPr>
        <w:t xml:space="preserve"> As aquisições ou as contratações adicionais a que se refere o item acima, não poderão exceder, por órgão ou entidade, a 50% (cinquenta por cento) dos quantitativos dos itens do instrumento convocatório registrados na ata de registro de preços para o órgão gerenciador e para os órgãos participantes.</w:t>
      </w:r>
    </w:p>
    <w:p w:rsidR="00CE716E" w:rsidRDefault="00CE716E" w:rsidP="00CE716E">
      <w:pPr>
        <w:pStyle w:val="NormalWeb"/>
        <w:spacing w:before="0" w:beforeAutospacing="0" w:after="0" w:afterAutospacing="0" w:line="360" w:lineRule="auto"/>
        <w:jc w:val="both"/>
        <w:rPr>
          <w:rFonts w:ascii="Arial" w:hAnsi="Arial" w:cs="Arial"/>
          <w:color w:val="000000"/>
        </w:rPr>
      </w:pPr>
      <w:bookmarkStart w:id="57" w:name="art86§5"/>
      <w:bookmarkEnd w:id="57"/>
      <w:r>
        <w:rPr>
          <w:rFonts w:ascii="Arial" w:hAnsi="Arial" w:cs="Arial"/>
          <w:b/>
          <w:bCs/>
          <w:color w:val="000000"/>
        </w:rPr>
        <w:t>20.3.</w:t>
      </w:r>
      <w:r>
        <w:rPr>
          <w:rFonts w:ascii="Arial" w:hAnsi="Arial" w:cs="Arial"/>
          <w:color w:val="000000"/>
        </w:rPr>
        <w:t xml:space="preserve"> O quantitativo decorrente das adesões à ata de registro de preços a que se refere o</w:t>
      </w:r>
      <w:r>
        <w:rPr>
          <w:rFonts w:ascii="Arial" w:hAnsi="Arial" w:cs="Arial"/>
          <w:b/>
          <w:bCs/>
          <w:color w:val="000000"/>
        </w:rPr>
        <w:t xml:space="preserve"> </w:t>
      </w:r>
      <w:r>
        <w:rPr>
          <w:rFonts w:ascii="Arial" w:hAnsi="Arial" w:cs="Arial"/>
          <w:color w:val="000000"/>
        </w:rPr>
        <w:t xml:space="preserve">item 20.1. </w:t>
      </w:r>
      <w:proofErr w:type="gramStart"/>
      <w:r>
        <w:rPr>
          <w:rFonts w:ascii="Arial" w:hAnsi="Arial" w:cs="Arial"/>
          <w:color w:val="000000"/>
        </w:rPr>
        <w:t>não</w:t>
      </w:r>
      <w:proofErr w:type="gramEnd"/>
      <w:r>
        <w:rPr>
          <w:rFonts w:ascii="Arial" w:hAnsi="Arial" w:cs="Arial"/>
          <w:color w:val="000000"/>
        </w:rPr>
        <w:t xml:space="preserve"> poderá exceder, na totalidade, ao dobro do quantitativo de cada item registrado na ata de registro de preços para o órgão gerenciador e órgãos participantes, independentemente do número de órgãos não participantes que aderirem.</w:t>
      </w:r>
    </w:p>
    <w:p w:rsidR="00CE716E" w:rsidRDefault="00CE716E" w:rsidP="00CE716E">
      <w:pPr>
        <w:pStyle w:val="NormalWeb"/>
        <w:spacing w:before="0" w:beforeAutospacing="0" w:after="0" w:afterAutospacing="0" w:line="360" w:lineRule="auto"/>
        <w:jc w:val="both"/>
        <w:rPr>
          <w:rFonts w:ascii="Arial" w:hAnsi="Arial" w:cs="Arial"/>
          <w:color w:val="000000"/>
        </w:rPr>
      </w:pPr>
    </w:p>
    <w:p w:rsidR="00CE716E" w:rsidRDefault="00CE716E" w:rsidP="00CE716E">
      <w:pPr>
        <w:tabs>
          <w:tab w:val="left" w:pos="1134"/>
        </w:tabs>
        <w:spacing w:line="360" w:lineRule="auto"/>
        <w:jc w:val="both"/>
        <w:rPr>
          <w:rFonts w:cs="Arial"/>
          <w:b/>
          <w:sz w:val="24"/>
          <w:szCs w:val="24"/>
        </w:rPr>
      </w:pPr>
      <w:r>
        <w:rPr>
          <w:rFonts w:cs="Arial"/>
          <w:b/>
          <w:sz w:val="24"/>
          <w:szCs w:val="24"/>
        </w:rPr>
        <w:t>21. DO RECEBIMENTO DO OBJETO:</w:t>
      </w:r>
    </w:p>
    <w:p w:rsidR="00CE716E" w:rsidRDefault="00CE716E" w:rsidP="00CE716E">
      <w:pPr>
        <w:tabs>
          <w:tab w:val="left" w:pos="1134"/>
        </w:tabs>
        <w:spacing w:line="360" w:lineRule="auto"/>
        <w:jc w:val="both"/>
        <w:rPr>
          <w:rFonts w:cs="Arial"/>
          <w:sz w:val="24"/>
          <w:szCs w:val="24"/>
        </w:rPr>
      </w:pPr>
      <w:r>
        <w:rPr>
          <w:rFonts w:cs="Arial"/>
          <w:b/>
          <w:sz w:val="24"/>
          <w:szCs w:val="24"/>
        </w:rPr>
        <w:t xml:space="preserve">21.1. </w:t>
      </w:r>
      <w:r>
        <w:rPr>
          <w:rFonts w:cs="Arial"/>
          <w:sz w:val="24"/>
          <w:szCs w:val="24"/>
        </w:rPr>
        <w:t xml:space="preserve">O prazo de entrega integral dos </w:t>
      </w:r>
      <w:r w:rsidR="008061A6">
        <w:rPr>
          <w:rFonts w:cs="Arial"/>
          <w:sz w:val="24"/>
          <w:szCs w:val="24"/>
        </w:rPr>
        <w:t>medicamentos</w:t>
      </w:r>
      <w:r>
        <w:rPr>
          <w:rFonts w:cs="Arial"/>
          <w:sz w:val="24"/>
          <w:szCs w:val="24"/>
        </w:rPr>
        <w:t xml:space="preserve"> é de 15 (quinze) dias corridos, a contar da emissão da ordem de fornecimento.</w:t>
      </w:r>
    </w:p>
    <w:p w:rsidR="00CE716E" w:rsidRDefault="00CE716E" w:rsidP="00CE716E">
      <w:pPr>
        <w:tabs>
          <w:tab w:val="left" w:pos="1134"/>
        </w:tabs>
        <w:spacing w:line="360" w:lineRule="auto"/>
        <w:jc w:val="both"/>
        <w:rPr>
          <w:rFonts w:cs="Arial"/>
          <w:sz w:val="24"/>
          <w:szCs w:val="24"/>
        </w:rPr>
      </w:pPr>
      <w:r>
        <w:rPr>
          <w:rFonts w:cs="Arial"/>
          <w:b/>
          <w:sz w:val="24"/>
          <w:szCs w:val="24"/>
        </w:rPr>
        <w:t xml:space="preserve">21.2. </w:t>
      </w:r>
      <w:r>
        <w:rPr>
          <w:rFonts w:cs="Arial"/>
          <w:sz w:val="24"/>
          <w:szCs w:val="24"/>
        </w:rPr>
        <w:t xml:space="preserve">Os </w:t>
      </w:r>
      <w:r w:rsidR="008061A6">
        <w:rPr>
          <w:rFonts w:cs="Arial"/>
          <w:sz w:val="24"/>
          <w:szCs w:val="24"/>
        </w:rPr>
        <w:t>medicamentos</w:t>
      </w:r>
      <w:r>
        <w:rPr>
          <w:rFonts w:cs="Arial"/>
          <w:sz w:val="24"/>
          <w:szCs w:val="24"/>
        </w:rPr>
        <w:t>, deverão ser entregues no Centro Administrativo, sito a Avenida Prefeito José Nunes de Abreu, nº 6.000, centro, Santo Antônio das Missões-RS, sito, no horário das 08:00 ás 14:00 horas.</w:t>
      </w:r>
    </w:p>
    <w:p w:rsidR="00CE716E" w:rsidRDefault="00CE716E" w:rsidP="00CE716E">
      <w:pPr>
        <w:tabs>
          <w:tab w:val="left" w:pos="1134"/>
        </w:tabs>
        <w:spacing w:line="360" w:lineRule="auto"/>
        <w:jc w:val="both"/>
        <w:rPr>
          <w:rFonts w:cs="Arial"/>
          <w:b/>
          <w:i/>
          <w:sz w:val="24"/>
          <w:szCs w:val="24"/>
          <w:u w:val="single"/>
        </w:rPr>
      </w:pPr>
      <w:r>
        <w:rPr>
          <w:rFonts w:cs="Arial"/>
          <w:b/>
          <w:sz w:val="24"/>
          <w:szCs w:val="24"/>
        </w:rPr>
        <w:t>21.3</w:t>
      </w:r>
      <w:r>
        <w:rPr>
          <w:rFonts w:cs="Arial"/>
          <w:sz w:val="24"/>
          <w:szCs w:val="24"/>
        </w:rPr>
        <w:t xml:space="preserve">. </w:t>
      </w:r>
      <w:r>
        <w:rPr>
          <w:rFonts w:cs="Arial"/>
          <w:b/>
          <w:i/>
          <w:sz w:val="24"/>
          <w:szCs w:val="24"/>
          <w:u w:val="single"/>
        </w:rPr>
        <w:t>Atender todas as normas de segurança</w:t>
      </w:r>
      <w:r w:rsidR="008061A6">
        <w:rPr>
          <w:rFonts w:cs="Arial"/>
          <w:b/>
          <w:i/>
          <w:sz w:val="24"/>
          <w:szCs w:val="24"/>
          <w:u w:val="single"/>
        </w:rPr>
        <w:t xml:space="preserve"> e saúde aplicáveis aos medicamentos</w:t>
      </w:r>
      <w:r>
        <w:rPr>
          <w:rFonts w:cs="Arial"/>
          <w:b/>
          <w:i/>
          <w:sz w:val="24"/>
          <w:szCs w:val="24"/>
          <w:u w:val="single"/>
        </w:rPr>
        <w:t xml:space="preserve"> fornecidos, com </w:t>
      </w:r>
      <w:r w:rsidR="008061A6">
        <w:rPr>
          <w:rFonts w:cs="Arial"/>
          <w:b/>
          <w:i/>
          <w:sz w:val="24"/>
          <w:szCs w:val="24"/>
          <w:u w:val="single"/>
        </w:rPr>
        <w:t>validade mínima de 12 mes</w:t>
      </w:r>
      <w:r w:rsidR="00FD6A1B">
        <w:rPr>
          <w:rFonts w:cs="Arial"/>
          <w:b/>
          <w:i/>
          <w:sz w:val="24"/>
          <w:szCs w:val="24"/>
          <w:u w:val="single"/>
        </w:rPr>
        <w:t>es</w:t>
      </w:r>
      <w:r w:rsidR="008061A6">
        <w:rPr>
          <w:rFonts w:cs="Arial"/>
          <w:b/>
          <w:i/>
          <w:sz w:val="24"/>
          <w:szCs w:val="24"/>
          <w:u w:val="single"/>
        </w:rPr>
        <w:t>.</w:t>
      </w:r>
    </w:p>
    <w:p w:rsidR="00CE716E" w:rsidRDefault="00CE716E" w:rsidP="00CE716E">
      <w:pPr>
        <w:tabs>
          <w:tab w:val="left" w:pos="1134"/>
        </w:tabs>
        <w:spacing w:line="360" w:lineRule="auto"/>
        <w:jc w:val="both"/>
        <w:rPr>
          <w:rFonts w:cs="Arial"/>
          <w:sz w:val="24"/>
          <w:szCs w:val="24"/>
        </w:rPr>
      </w:pPr>
      <w:r>
        <w:rPr>
          <w:rFonts w:cs="Arial"/>
          <w:b/>
          <w:sz w:val="24"/>
          <w:szCs w:val="24"/>
        </w:rPr>
        <w:t xml:space="preserve">21.4. </w:t>
      </w:r>
      <w:r>
        <w:rPr>
          <w:rFonts w:cs="Arial"/>
          <w:sz w:val="24"/>
          <w:szCs w:val="24"/>
        </w:rPr>
        <w:t>Verificada a desconformidade de algum dos produtos, a licitante vencedora deverá promover as correções necessárias no prazo máximo de 05 (cinco) dias úteis, sujeitando-se às penalidades previstas neste edital.</w:t>
      </w:r>
    </w:p>
    <w:p w:rsidR="00CE716E" w:rsidRDefault="00CE716E" w:rsidP="00CE716E">
      <w:pPr>
        <w:tabs>
          <w:tab w:val="left" w:pos="1134"/>
        </w:tabs>
        <w:spacing w:line="360" w:lineRule="auto"/>
        <w:jc w:val="both"/>
        <w:rPr>
          <w:rFonts w:cs="Arial"/>
          <w:sz w:val="24"/>
          <w:szCs w:val="24"/>
        </w:rPr>
      </w:pPr>
      <w:r>
        <w:rPr>
          <w:rFonts w:cs="Arial"/>
          <w:b/>
          <w:sz w:val="24"/>
          <w:szCs w:val="24"/>
        </w:rPr>
        <w:t>21.5.</w:t>
      </w:r>
      <w:r>
        <w:rPr>
          <w:rFonts w:cs="Arial"/>
          <w:sz w:val="24"/>
          <w:szCs w:val="24"/>
        </w:rPr>
        <w:t xml:space="preserve"> A nota fiscal/fatura deverá, obrigatoriamente, ser entregue junto ao seu objeto.</w:t>
      </w:r>
    </w:p>
    <w:p w:rsidR="00CE716E" w:rsidRDefault="00CE716E" w:rsidP="00CE716E">
      <w:pPr>
        <w:spacing w:line="360" w:lineRule="auto"/>
        <w:rPr>
          <w:rFonts w:cs="Arial"/>
          <w:b/>
          <w:sz w:val="24"/>
          <w:szCs w:val="24"/>
        </w:rPr>
      </w:pPr>
    </w:p>
    <w:p w:rsidR="00CE716E" w:rsidRDefault="00CE716E" w:rsidP="00CE716E">
      <w:pPr>
        <w:tabs>
          <w:tab w:val="left" w:pos="1134"/>
        </w:tabs>
        <w:spacing w:line="360" w:lineRule="auto"/>
        <w:jc w:val="both"/>
        <w:rPr>
          <w:rFonts w:cs="Arial"/>
          <w:b/>
          <w:sz w:val="24"/>
          <w:szCs w:val="24"/>
        </w:rPr>
      </w:pPr>
      <w:r>
        <w:rPr>
          <w:rFonts w:cs="Arial"/>
          <w:b/>
          <w:sz w:val="24"/>
          <w:szCs w:val="24"/>
        </w:rPr>
        <w:lastRenderedPageBreak/>
        <w:t>22. PRAZOS E CONDIÇÕES DE PAGAMENTO:</w:t>
      </w:r>
    </w:p>
    <w:p w:rsidR="00CE716E" w:rsidRDefault="00CE716E" w:rsidP="00CE716E">
      <w:pPr>
        <w:tabs>
          <w:tab w:val="left" w:pos="1134"/>
        </w:tabs>
        <w:spacing w:line="360" w:lineRule="auto"/>
        <w:jc w:val="both"/>
        <w:rPr>
          <w:rFonts w:cs="Arial"/>
          <w:sz w:val="24"/>
          <w:szCs w:val="24"/>
        </w:rPr>
      </w:pPr>
      <w:r>
        <w:rPr>
          <w:rFonts w:cs="Arial"/>
          <w:b/>
          <w:sz w:val="24"/>
          <w:szCs w:val="24"/>
        </w:rPr>
        <w:t>22.1.</w:t>
      </w:r>
      <w:r>
        <w:rPr>
          <w:rFonts w:cs="Arial"/>
          <w:sz w:val="24"/>
          <w:szCs w:val="24"/>
        </w:rPr>
        <w:t xml:space="preserve"> O pagamento será efetuado contra empenho, após o recebimento do objeto, e mediante apresentação da Nota Fiscal/Fatura. </w:t>
      </w:r>
    </w:p>
    <w:p w:rsidR="00CE716E" w:rsidRDefault="00CE716E" w:rsidP="00CE716E">
      <w:pPr>
        <w:tabs>
          <w:tab w:val="left" w:pos="1134"/>
        </w:tabs>
        <w:spacing w:line="360" w:lineRule="auto"/>
        <w:jc w:val="both"/>
        <w:rPr>
          <w:rFonts w:cs="Arial"/>
          <w:sz w:val="24"/>
          <w:szCs w:val="24"/>
        </w:rPr>
      </w:pPr>
      <w:r>
        <w:rPr>
          <w:rFonts w:cs="Arial"/>
          <w:b/>
          <w:sz w:val="24"/>
          <w:szCs w:val="24"/>
        </w:rPr>
        <w:t xml:space="preserve">22.2. </w:t>
      </w:r>
      <w:r>
        <w:rPr>
          <w:rFonts w:cs="Arial"/>
          <w:sz w:val="24"/>
          <w:szCs w:val="24"/>
        </w:rPr>
        <w:t>A nota fiscal/fatura emitida pelo fornecedor deverá conter, em local de fácil visualização, a indicação do número do processo, número do pregão eletrônico e da ordem de fornecimento, a fim de se acelerar o trâmite de recebimento do material e posterior liberação do documento fiscal para pagamento.</w:t>
      </w:r>
    </w:p>
    <w:p w:rsidR="00CE716E" w:rsidRDefault="00CE716E" w:rsidP="00CE716E">
      <w:pPr>
        <w:tabs>
          <w:tab w:val="left" w:pos="1134"/>
        </w:tabs>
        <w:spacing w:line="360" w:lineRule="auto"/>
        <w:jc w:val="both"/>
        <w:rPr>
          <w:rFonts w:cs="Arial"/>
          <w:sz w:val="24"/>
          <w:szCs w:val="24"/>
        </w:rPr>
      </w:pPr>
      <w:r>
        <w:rPr>
          <w:rFonts w:cs="Arial"/>
          <w:b/>
          <w:sz w:val="24"/>
          <w:szCs w:val="24"/>
        </w:rPr>
        <w:t xml:space="preserve">22.3. </w:t>
      </w:r>
      <w:r>
        <w:rPr>
          <w:rFonts w:cs="Arial"/>
          <w:sz w:val="24"/>
          <w:szCs w:val="24"/>
        </w:rPr>
        <w:t xml:space="preserve">O pagamento será efetuado no prazo de máximo de 15 </w:t>
      </w:r>
      <w:proofErr w:type="gramStart"/>
      <w:r>
        <w:rPr>
          <w:rFonts w:cs="Arial"/>
          <w:sz w:val="24"/>
          <w:szCs w:val="24"/>
        </w:rPr>
        <w:t>( quinze</w:t>
      </w:r>
      <w:proofErr w:type="gramEnd"/>
      <w:r>
        <w:rPr>
          <w:rFonts w:cs="Arial"/>
          <w:sz w:val="24"/>
          <w:szCs w:val="24"/>
        </w:rPr>
        <w:t xml:space="preserve"> ) dias úteis da entrega total dos M</w:t>
      </w:r>
      <w:r w:rsidR="00FD6A1B">
        <w:rPr>
          <w:rFonts w:cs="Arial"/>
          <w:sz w:val="24"/>
          <w:szCs w:val="24"/>
        </w:rPr>
        <w:t>edicamentos</w:t>
      </w:r>
      <w:r>
        <w:rPr>
          <w:rFonts w:cs="Arial"/>
          <w:sz w:val="24"/>
          <w:szCs w:val="24"/>
        </w:rPr>
        <w:t>.</w:t>
      </w:r>
    </w:p>
    <w:p w:rsidR="00CE716E" w:rsidRDefault="00CE716E" w:rsidP="00CE716E">
      <w:pPr>
        <w:tabs>
          <w:tab w:val="left" w:pos="1134"/>
        </w:tabs>
        <w:spacing w:line="360" w:lineRule="auto"/>
        <w:jc w:val="both"/>
        <w:rPr>
          <w:rFonts w:cs="Arial"/>
          <w:b/>
          <w:sz w:val="24"/>
          <w:szCs w:val="24"/>
        </w:rPr>
      </w:pPr>
      <w:r>
        <w:rPr>
          <w:rFonts w:cs="Arial"/>
          <w:b/>
          <w:sz w:val="24"/>
          <w:szCs w:val="24"/>
        </w:rPr>
        <w:t xml:space="preserve">22.4. </w:t>
      </w:r>
      <w:r>
        <w:rPr>
          <w:rFonts w:cs="Arial"/>
          <w:sz w:val="24"/>
          <w:szCs w:val="24"/>
        </w:rPr>
        <w:t xml:space="preserve">Ocorrendo atraso no pagamento, os valores serão corrigidos monetariamente pelo índice IPCA do período, ou outro índice que vier a substituí-lo, e a Administração compensará a contratada com juros de 0,5% ao mês, </w:t>
      </w:r>
      <w:proofErr w:type="gramStart"/>
      <w:r>
        <w:rPr>
          <w:rFonts w:cs="Arial"/>
          <w:sz w:val="24"/>
          <w:szCs w:val="24"/>
        </w:rPr>
        <w:t>pro</w:t>
      </w:r>
      <w:proofErr w:type="gramEnd"/>
      <w:r>
        <w:rPr>
          <w:rFonts w:cs="Arial"/>
          <w:sz w:val="24"/>
          <w:szCs w:val="24"/>
        </w:rPr>
        <w:t xml:space="preserve"> rata.</w:t>
      </w:r>
      <w:r>
        <w:rPr>
          <w:rFonts w:cs="Arial"/>
          <w:b/>
          <w:sz w:val="24"/>
          <w:szCs w:val="24"/>
        </w:rPr>
        <w:t xml:space="preserve"> </w:t>
      </w:r>
    </w:p>
    <w:p w:rsidR="00CE716E" w:rsidRDefault="00CE716E" w:rsidP="00CE716E">
      <w:pPr>
        <w:tabs>
          <w:tab w:val="left" w:pos="1134"/>
        </w:tabs>
        <w:spacing w:line="360" w:lineRule="auto"/>
        <w:jc w:val="both"/>
        <w:rPr>
          <w:rFonts w:cs="Arial"/>
          <w:sz w:val="24"/>
          <w:szCs w:val="24"/>
        </w:rPr>
      </w:pPr>
    </w:p>
    <w:p w:rsidR="00CE716E" w:rsidRDefault="00CE716E" w:rsidP="00CE716E">
      <w:pPr>
        <w:tabs>
          <w:tab w:val="left" w:pos="1134"/>
        </w:tabs>
        <w:spacing w:line="360" w:lineRule="auto"/>
        <w:jc w:val="both"/>
        <w:rPr>
          <w:rFonts w:cs="Arial"/>
          <w:b/>
          <w:sz w:val="24"/>
          <w:szCs w:val="24"/>
        </w:rPr>
      </w:pPr>
      <w:r>
        <w:rPr>
          <w:rFonts w:cs="Arial"/>
          <w:b/>
          <w:sz w:val="24"/>
          <w:szCs w:val="24"/>
        </w:rPr>
        <w:t>23. SANÇÕES ADMINISTRATIVAS</w:t>
      </w:r>
    </w:p>
    <w:p w:rsidR="00CE716E" w:rsidRDefault="00CE716E" w:rsidP="00CE716E">
      <w:pPr>
        <w:tabs>
          <w:tab w:val="left" w:pos="1134"/>
        </w:tabs>
        <w:spacing w:line="360" w:lineRule="auto"/>
        <w:jc w:val="both"/>
        <w:rPr>
          <w:rFonts w:cs="Arial"/>
          <w:sz w:val="24"/>
          <w:szCs w:val="24"/>
          <w:lang w:eastAsia="pt-BR"/>
        </w:rPr>
      </w:pPr>
      <w:r>
        <w:rPr>
          <w:rFonts w:cs="Arial"/>
          <w:b/>
          <w:sz w:val="24"/>
          <w:szCs w:val="24"/>
        </w:rPr>
        <w:t>23.1.</w:t>
      </w:r>
      <w:r>
        <w:rPr>
          <w:rFonts w:cs="Arial"/>
          <w:b/>
          <w:bCs/>
          <w:sz w:val="24"/>
          <w:szCs w:val="24"/>
        </w:rPr>
        <w:t> </w:t>
      </w:r>
      <w:r>
        <w:rPr>
          <w:rFonts w:cs="Arial"/>
          <w:sz w:val="24"/>
          <w:szCs w:val="24"/>
        </w:rPr>
        <w:t>O licitante ou o contratado será responsabilizado administrativamente, mediante concessão do direito ao contraditório e à ampla defesa, pelas seguintes infrações:</w:t>
      </w:r>
    </w:p>
    <w:p w:rsidR="00CE716E" w:rsidRDefault="00CE716E" w:rsidP="00CE716E">
      <w:pPr>
        <w:pStyle w:val="NormalWeb"/>
        <w:spacing w:before="0" w:beforeAutospacing="0" w:after="0" w:afterAutospacing="0" w:line="360" w:lineRule="auto"/>
        <w:jc w:val="both"/>
        <w:rPr>
          <w:rFonts w:ascii="Arial" w:hAnsi="Arial" w:cs="Arial"/>
        </w:rPr>
      </w:pPr>
      <w:bookmarkStart w:id="58" w:name="art155i"/>
      <w:bookmarkEnd w:id="58"/>
      <w:r>
        <w:rPr>
          <w:rFonts w:ascii="Arial" w:hAnsi="Arial" w:cs="Arial"/>
          <w:b/>
          <w:bCs/>
        </w:rPr>
        <w:t>a)</w:t>
      </w:r>
      <w:r>
        <w:rPr>
          <w:rFonts w:ascii="Arial" w:hAnsi="Arial" w:cs="Arial"/>
        </w:rPr>
        <w:t xml:space="preserve"> dar causa à inexecução parcial da ata de registro de preços e/ou do contrato;</w:t>
      </w:r>
    </w:p>
    <w:p w:rsidR="00CE716E" w:rsidRDefault="00CE716E" w:rsidP="00CE716E">
      <w:pPr>
        <w:pStyle w:val="NormalWeb"/>
        <w:spacing w:before="0" w:beforeAutospacing="0" w:after="0" w:afterAutospacing="0" w:line="360" w:lineRule="auto"/>
        <w:jc w:val="both"/>
        <w:rPr>
          <w:rFonts w:ascii="Arial" w:hAnsi="Arial" w:cs="Arial"/>
        </w:rPr>
      </w:pPr>
      <w:bookmarkStart w:id="59" w:name="art155ii"/>
      <w:bookmarkEnd w:id="59"/>
      <w:r>
        <w:rPr>
          <w:rFonts w:ascii="Arial" w:hAnsi="Arial" w:cs="Arial"/>
          <w:b/>
          <w:bCs/>
        </w:rPr>
        <w:t>b)</w:t>
      </w:r>
      <w:r>
        <w:rPr>
          <w:rFonts w:ascii="Arial" w:hAnsi="Arial" w:cs="Arial"/>
        </w:rPr>
        <w:t xml:space="preserve"> dar causa à inexecução parcial da ata de registro de preços e/ou do contrato que cause grave dano à Administração, ao funcionamento dos serviços públicos ou ao interesse coletivo;</w:t>
      </w:r>
    </w:p>
    <w:p w:rsidR="00CE716E" w:rsidRDefault="00CE716E" w:rsidP="00CE716E">
      <w:pPr>
        <w:pStyle w:val="NormalWeb"/>
        <w:spacing w:before="0" w:beforeAutospacing="0" w:after="0" w:afterAutospacing="0" w:line="360" w:lineRule="auto"/>
        <w:jc w:val="both"/>
        <w:rPr>
          <w:rFonts w:ascii="Arial" w:hAnsi="Arial" w:cs="Arial"/>
        </w:rPr>
      </w:pPr>
      <w:bookmarkStart w:id="60" w:name="art155iii"/>
      <w:bookmarkEnd w:id="60"/>
      <w:r>
        <w:rPr>
          <w:rFonts w:ascii="Arial" w:hAnsi="Arial" w:cs="Arial"/>
          <w:b/>
          <w:bCs/>
        </w:rPr>
        <w:t xml:space="preserve">c) </w:t>
      </w:r>
      <w:r>
        <w:rPr>
          <w:rFonts w:ascii="Arial" w:hAnsi="Arial" w:cs="Arial"/>
        </w:rPr>
        <w:t>dar causa à inexecução total da ata de registro de preços e/ou do contrato;</w:t>
      </w:r>
    </w:p>
    <w:p w:rsidR="00CE716E" w:rsidRDefault="00CE716E" w:rsidP="00CE716E">
      <w:pPr>
        <w:pStyle w:val="NormalWeb"/>
        <w:spacing w:before="0" w:beforeAutospacing="0" w:after="0" w:afterAutospacing="0" w:line="360" w:lineRule="auto"/>
        <w:jc w:val="both"/>
        <w:rPr>
          <w:rFonts w:ascii="Arial" w:hAnsi="Arial" w:cs="Arial"/>
        </w:rPr>
      </w:pPr>
      <w:bookmarkStart w:id="61" w:name="art155iv"/>
      <w:bookmarkEnd w:id="61"/>
      <w:r>
        <w:rPr>
          <w:rFonts w:ascii="Arial" w:hAnsi="Arial" w:cs="Arial"/>
          <w:b/>
          <w:bCs/>
        </w:rPr>
        <w:t>d)</w:t>
      </w:r>
      <w:r>
        <w:rPr>
          <w:rFonts w:ascii="Arial" w:hAnsi="Arial" w:cs="Arial"/>
        </w:rPr>
        <w:t xml:space="preserve"> deixar de entregar a documentação exigida para o certame;</w:t>
      </w:r>
    </w:p>
    <w:p w:rsidR="00CE716E" w:rsidRDefault="00CE716E" w:rsidP="00CE716E">
      <w:pPr>
        <w:pStyle w:val="NormalWeb"/>
        <w:spacing w:before="0" w:beforeAutospacing="0" w:after="0" w:afterAutospacing="0" w:line="360" w:lineRule="auto"/>
        <w:jc w:val="both"/>
        <w:rPr>
          <w:rFonts w:ascii="Arial" w:hAnsi="Arial" w:cs="Arial"/>
        </w:rPr>
      </w:pPr>
      <w:bookmarkStart w:id="62" w:name="art155v"/>
      <w:bookmarkEnd w:id="62"/>
      <w:r>
        <w:rPr>
          <w:rFonts w:ascii="Arial" w:hAnsi="Arial" w:cs="Arial"/>
          <w:b/>
          <w:bCs/>
        </w:rPr>
        <w:t>e)</w:t>
      </w:r>
      <w:r>
        <w:rPr>
          <w:rFonts w:ascii="Arial" w:hAnsi="Arial" w:cs="Arial"/>
        </w:rPr>
        <w:t xml:space="preserve"> não manter a proposta, salvo em decorrência de fato superveniente devidamente justificado;</w:t>
      </w:r>
    </w:p>
    <w:p w:rsidR="00CE716E" w:rsidRDefault="00CE716E" w:rsidP="00CE716E">
      <w:pPr>
        <w:pStyle w:val="NormalWeb"/>
        <w:spacing w:before="0" w:beforeAutospacing="0" w:after="0" w:afterAutospacing="0" w:line="360" w:lineRule="auto"/>
        <w:jc w:val="both"/>
        <w:rPr>
          <w:rFonts w:ascii="Arial" w:hAnsi="Arial" w:cs="Arial"/>
        </w:rPr>
      </w:pPr>
      <w:bookmarkStart w:id="63" w:name="art155vi"/>
      <w:bookmarkEnd w:id="63"/>
      <w:r>
        <w:rPr>
          <w:rFonts w:ascii="Arial" w:hAnsi="Arial" w:cs="Arial"/>
          <w:b/>
          <w:bCs/>
        </w:rPr>
        <w:t>f)</w:t>
      </w:r>
      <w:r>
        <w:rPr>
          <w:rFonts w:ascii="Arial" w:hAnsi="Arial" w:cs="Arial"/>
        </w:rPr>
        <w:t xml:space="preserve"> não celebrar da ata de registro de preços e/ou do contrato ou não entregar a documentação exigida para a contratação, quando convocado dentro do prazo de validade de sua proposta;</w:t>
      </w:r>
    </w:p>
    <w:p w:rsidR="00CE716E" w:rsidRDefault="00CE716E" w:rsidP="00CE716E">
      <w:pPr>
        <w:pStyle w:val="NormalWeb"/>
        <w:spacing w:before="0" w:beforeAutospacing="0" w:after="0" w:afterAutospacing="0" w:line="360" w:lineRule="auto"/>
        <w:jc w:val="both"/>
        <w:rPr>
          <w:rFonts w:ascii="Arial" w:hAnsi="Arial" w:cs="Arial"/>
        </w:rPr>
      </w:pPr>
      <w:bookmarkStart w:id="64" w:name="art155vii"/>
      <w:bookmarkEnd w:id="64"/>
      <w:r>
        <w:rPr>
          <w:rFonts w:ascii="Arial" w:hAnsi="Arial" w:cs="Arial"/>
          <w:b/>
          <w:bCs/>
        </w:rPr>
        <w:lastRenderedPageBreak/>
        <w:t>g)</w:t>
      </w:r>
      <w:r>
        <w:rPr>
          <w:rFonts w:ascii="Arial" w:hAnsi="Arial" w:cs="Arial"/>
        </w:rPr>
        <w:t xml:space="preserve"> ensejar o retardamento da execução ou da entrega do objeto da licitação sem motivo justificado;</w:t>
      </w:r>
    </w:p>
    <w:p w:rsidR="00CE716E" w:rsidRDefault="00CE716E" w:rsidP="00CE716E">
      <w:pPr>
        <w:pStyle w:val="NormalWeb"/>
        <w:spacing w:before="0" w:beforeAutospacing="0" w:after="0" w:afterAutospacing="0" w:line="360" w:lineRule="auto"/>
        <w:jc w:val="both"/>
        <w:rPr>
          <w:rFonts w:ascii="Arial" w:hAnsi="Arial" w:cs="Arial"/>
        </w:rPr>
      </w:pPr>
      <w:bookmarkStart w:id="65" w:name="art155viii"/>
      <w:bookmarkEnd w:id="65"/>
      <w:r>
        <w:rPr>
          <w:rFonts w:ascii="Arial" w:hAnsi="Arial" w:cs="Arial"/>
          <w:b/>
          <w:bCs/>
        </w:rPr>
        <w:t>h)</w:t>
      </w:r>
      <w:r>
        <w:rPr>
          <w:rFonts w:ascii="Arial" w:hAnsi="Arial" w:cs="Arial"/>
        </w:rPr>
        <w:t xml:space="preserve"> apresentar declaração ou documentação falsa exigida para o certame ou prestar declaração falsa durante a licitação ou a execução da ata de registro de preços e/ou do contrato;</w:t>
      </w:r>
    </w:p>
    <w:p w:rsidR="00CE716E" w:rsidRDefault="00CE716E" w:rsidP="00CE716E">
      <w:pPr>
        <w:pStyle w:val="NormalWeb"/>
        <w:spacing w:before="0" w:beforeAutospacing="0" w:after="0" w:afterAutospacing="0" w:line="360" w:lineRule="auto"/>
        <w:jc w:val="both"/>
        <w:rPr>
          <w:rFonts w:ascii="Arial" w:hAnsi="Arial" w:cs="Arial"/>
        </w:rPr>
      </w:pPr>
      <w:bookmarkStart w:id="66" w:name="art155ix"/>
      <w:bookmarkEnd w:id="66"/>
      <w:r>
        <w:rPr>
          <w:rFonts w:ascii="Arial" w:hAnsi="Arial" w:cs="Arial"/>
          <w:b/>
          <w:bCs/>
        </w:rPr>
        <w:t>i)</w:t>
      </w:r>
      <w:r>
        <w:rPr>
          <w:rFonts w:ascii="Arial" w:hAnsi="Arial" w:cs="Arial"/>
        </w:rPr>
        <w:t xml:space="preserve"> fraudar a licitação ou praticar ato fraudulento na execução da ata de registro de preços e/ou do contrato;</w:t>
      </w:r>
    </w:p>
    <w:p w:rsidR="00CE716E" w:rsidRDefault="00CE716E" w:rsidP="00CE716E">
      <w:pPr>
        <w:pStyle w:val="NormalWeb"/>
        <w:spacing w:before="0" w:beforeAutospacing="0" w:after="0" w:afterAutospacing="0" w:line="360" w:lineRule="auto"/>
        <w:jc w:val="both"/>
        <w:rPr>
          <w:rFonts w:ascii="Arial" w:hAnsi="Arial" w:cs="Arial"/>
        </w:rPr>
      </w:pPr>
      <w:bookmarkStart w:id="67" w:name="art155x"/>
      <w:bookmarkEnd w:id="67"/>
      <w:r>
        <w:rPr>
          <w:rFonts w:ascii="Arial" w:hAnsi="Arial" w:cs="Arial"/>
          <w:b/>
          <w:bCs/>
        </w:rPr>
        <w:t>j)</w:t>
      </w:r>
      <w:r>
        <w:rPr>
          <w:rFonts w:ascii="Arial" w:hAnsi="Arial" w:cs="Arial"/>
        </w:rPr>
        <w:t xml:space="preserve"> comportar-se de modo inidôneo ou cometer fraude de qualquer natureza;</w:t>
      </w:r>
    </w:p>
    <w:p w:rsidR="00CE716E" w:rsidRDefault="00CE716E" w:rsidP="00CE716E">
      <w:pPr>
        <w:pStyle w:val="NormalWeb"/>
        <w:spacing w:before="0" w:beforeAutospacing="0" w:after="0" w:afterAutospacing="0" w:line="360" w:lineRule="auto"/>
        <w:jc w:val="both"/>
        <w:rPr>
          <w:rFonts w:ascii="Arial" w:hAnsi="Arial" w:cs="Arial"/>
        </w:rPr>
      </w:pPr>
      <w:bookmarkStart w:id="68" w:name="art155xi"/>
      <w:bookmarkEnd w:id="68"/>
      <w:r>
        <w:rPr>
          <w:rFonts w:ascii="Arial" w:hAnsi="Arial" w:cs="Arial"/>
          <w:b/>
          <w:bCs/>
        </w:rPr>
        <w:t>l)</w:t>
      </w:r>
      <w:r>
        <w:rPr>
          <w:rFonts w:ascii="Arial" w:hAnsi="Arial" w:cs="Arial"/>
        </w:rPr>
        <w:t xml:space="preserve"> praticar atos ilícitos com vistas a frustrar os objetivos da licitação;</w:t>
      </w:r>
    </w:p>
    <w:p w:rsidR="00CE716E" w:rsidRDefault="00CE716E" w:rsidP="00CE716E">
      <w:pPr>
        <w:pStyle w:val="NormalWeb"/>
        <w:spacing w:before="0" w:beforeAutospacing="0" w:after="0" w:afterAutospacing="0" w:line="360" w:lineRule="auto"/>
        <w:jc w:val="both"/>
        <w:rPr>
          <w:rFonts w:ascii="Arial" w:hAnsi="Arial" w:cs="Arial"/>
        </w:rPr>
      </w:pPr>
      <w:bookmarkStart w:id="69" w:name="art155xii"/>
      <w:bookmarkEnd w:id="69"/>
      <w:r>
        <w:rPr>
          <w:rFonts w:ascii="Arial" w:hAnsi="Arial" w:cs="Arial"/>
          <w:b/>
          <w:bCs/>
        </w:rPr>
        <w:t>m)</w:t>
      </w:r>
      <w:r>
        <w:rPr>
          <w:rFonts w:ascii="Arial" w:hAnsi="Arial" w:cs="Arial"/>
        </w:rPr>
        <w:t xml:space="preserve"> praticar ato lesivo previsto no </w:t>
      </w:r>
      <w:hyperlink r:id="rId10" w:anchor="art5" w:history="1">
        <w:r>
          <w:rPr>
            <w:rStyle w:val="Hyperlink"/>
            <w:rFonts w:ascii="Arial" w:hAnsi="Arial" w:cs="Arial"/>
          </w:rPr>
          <w:t>art. 5º da Lei nº 12.846, de 1º de agosto de 2013.</w:t>
        </w:r>
      </w:hyperlink>
    </w:p>
    <w:p w:rsidR="00CE716E" w:rsidRDefault="00CE716E" w:rsidP="00CE716E">
      <w:pPr>
        <w:pStyle w:val="NormalWeb"/>
        <w:spacing w:before="0" w:beforeAutospacing="0" w:after="0" w:afterAutospacing="0" w:line="360" w:lineRule="auto"/>
        <w:jc w:val="both"/>
        <w:rPr>
          <w:rFonts w:ascii="Arial" w:hAnsi="Arial" w:cs="Arial"/>
        </w:rPr>
      </w:pPr>
      <w:bookmarkStart w:id="70" w:name="art156"/>
      <w:bookmarkEnd w:id="70"/>
      <w:r>
        <w:rPr>
          <w:rFonts w:ascii="Arial" w:hAnsi="Arial" w:cs="Arial"/>
          <w:b/>
          <w:bCs/>
        </w:rPr>
        <w:t>23.2.</w:t>
      </w:r>
      <w:r>
        <w:rPr>
          <w:rFonts w:ascii="Arial" w:hAnsi="Arial" w:cs="Arial"/>
        </w:rPr>
        <w:t xml:space="preserve"> Serão aplicadas ao responsável pelas infrações administrativas previstas no item 23.1 deste edital as seguintes sanções</w:t>
      </w:r>
      <w:r>
        <w:rPr>
          <w:rStyle w:val="Refdenotaderodap"/>
          <w:rFonts w:ascii="Arial" w:eastAsiaTheme="majorEastAsia" w:hAnsi="Arial" w:cs="Arial"/>
        </w:rPr>
        <w:footnoteReference w:id="7"/>
      </w:r>
      <w:r>
        <w:rPr>
          <w:rFonts w:ascii="Arial" w:hAnsi="Arial" w:cs="Arial"/>
        </w:rPr>
        <w:t>:</w:t>
      </w:r>
    </w:p>
    <w:p w:rsidR="00CE716E" w:rsidRDefault="00CE716E" w:rsidP="00CE716E">
      <w:pPr>
        <w:pStyle w:val="NormalWeb"/>
        <w:spacing w:before="0" w:beforeAutospacing="0" w:after="0" w:afterAutospacing="0" w:line="360" w:lineRule="auto"/>
        <w:jc w:val="both"/>
        <w:rPr>
          <w:rFonts w:ascii="Arial" w:hAnsi="Arial" w:cs="Arial"/>
        </w:rPr>
      </w:pPr>
      <w:bookmarkStart w:id="77" w:name="art156i"/>
      <w:bookmarkEnd w:id="77"/>
      <w:r>
        <w:rPr>
          <w:rFonts w:ascii="Arial" w:hAnsi="Arial" w:cs="Arial"/>
          <w:b/>
          <w:bCs/>
        </w:rPr>
        <w:t>a)</w:t>
      </w:r>
      <w:r>
        <w:rPr>
          <w:rFonts w:ascii="Arial" w:hAnsi="Arial" w:cs="Arial"/>
        </w:rPr>
        <w:t xml:space="preserve"> advertência;</w:t>
      </w:r>
    </w:p>
    <w:p w:rsidR="00CE716E" w:rsidRDefault="00CE716E" w:rsidP="00CE716E">
      <w:pPr>
        <w:pStyle w:val="NormalWeb"/>
        <w:spacing w:before="0" w:beforeAutospacing="0" w:after="0" w:afterAutospacing="0" w:line="360" w:lineRule="auto"/>
        <w:jc w:val="both"/>
        <w:rPr>
          <w:rFonts w:ascii="Arial" w:hAnsi="Arial" w:cs="Arial"/>
        </w:rPr>
      </w:pPr>
      <w:bookmarkStart w:id="78" w:name="art156ii"/>
      <w:bookmarkEnd w:id="78"/>
      <w:r>
        <w:rPr>
          <w:rFonts w:ascii="Arial" w:hAnsi="Arial" w:cs="Arial"/>
          <w:b/>
          <w:bCs/>
        </w:rPr>
        <w:t>b)</w:t>
      </w:r>
      <w:r>
        <w:rPr>
          <w:rFonts w:ascii="Arial" w:hAnsi="Arial" w:cs="Arial"/>
        </w:rPr>
        <w:t xml:space="preserve"> multa de no mínimo 0,5% (cinco décimos por cento) e máximo de 30% (trinta por cento) do valor do objeto licitado ou contratado;</w:t>
      </w:r>
    </w:p>
    <w:p w:rsidR="00CE716E" w:rsidRDefault="00CE716E" w:rsidP="00CE716E">
      <w:pPr>
        <w:pStyle w:val="NormalWeb"/>
        <w:spacing w:before="0" w:beforeAutospacing="0" w:after="0" w:afterAutospacing="0" w:line="360" w:lineRule="auto"/>
        <w:jc w:val="both"/>
        <w:rPr>
          <w:rFonts w:ascii="Arial" w:hAnsi="Arial" w:cs="Arial"/>
        </w:rPr>
      </w:pPr>
      <w:bookmarkStart w:id="79" w:name="art156iii"/>
      <w:bookmarkEnd w:id="79"/>
      <w:r>
        <w:rPr>
          <w:rFonts w:ascii="Arial" w:hAnsi="Arial" w:cs="Arial"/>
          <w:b/>
          <w:bCs/>
        </w:rPr>
        <w:t>c)</w:t>
      </w:r>
      <w:r>
        <w:rPr>
          <w:rFonts w:ascii="Arial" w:hAnsi="Arial" w:cs="Arial"/>
        </w:rPr>
        <w:t xml:space="preserve"> impedimento de licitar e contratar, no âmbito da Administração Pública direta e indireta do órgão licitante, pelo prazo máximo de 3 (três) anos.</w:t>
      </w:r>
    </w:p>
    <w:p w:rsidR="00CE716E" w:rsidRDefault="00CE716E" w:rsidP="00CE716E">
      <w:pPr>
        <w:pStyle w:val="NormalWeb"/>
        <w:spacing w:before="0" w:beforeAutospacing="0" w:after="0" w:afterAutospacing="0" w:line="360" w:lineRule="auto"/>
        <w:jc w:val="both"/>
        <w:rPr>
          <w:rFonts w:ascii="Arial" w:hAnsi="Arial" w:cs="Arial"/>
        </w:rPr>
      </w:pPr>
      <w:bookmarkStart w:id="80" w:name="art156iv"/>
      <w:bookmarkEnd w:id="80"/>
      <w:r>
        <w:rPr>
          <w:rFonts w:ascii="Arial" w:hAnsi="Arial" w:cs="Arial"/>
          <w:b/>
          <w:bCs/>
        </w:rPr>
        <w:t>d)</w:t>
      </w:r>
      <w:r>
        <w:rPr>
          <w:rFonts w:ascii="Arial" w:hAnsi="Arial" w:cs="Arial"/>
        </w:rPr>
        <w:t xml:space="preserve"> declaração de inidoneidade para licitar ou contratar</w:t>
      </w:r>
      <w:bookmarkStart w:id="81" w:name="art156§1"/>
      <w:bookmarkStart w:id="82" w:name="art156§2"/>
      <w:bookmarkStart w:id="83" w:name="art156§5"/>
      <w:bookmarkEnd w:id="81"/>
      <w:bookmarkEnd w:id="82"/>
      <w:bookmarkEnd w:id="83"/>
      <w:r>
        <w:rPr>
          <w:rFonts w:ascii="Arial" w:hAnsi="Arial" w:cs="Arial"/>
        </w:rPr>
        <w:t xml:space="preserve"> no âmbito da Administração Pública direta e indireta de todos os entes federativos, pelo prazo mínimo de 3 (três) anos e máximo de 6 (seis) anos.</w:t>
      </w:r>
    </w:p>
    <w:p w:rsidR="00CE716E" w:rsidRDefault="00CE716E" w:rsidP="00CE716E">
      <w:pPr>
        <w:pStyle w:val="NormalWeb"/>
        <w:spacing w:before="0" w:beforeAutospacing="0" w:after="0" w:afterAutospacing="0" w:line="360" w:lineRule="auto"/>
        <w:jc w:val="both"/>
        <w:rPr>
          <w:rFonts w:ascii="Arial" w:hAnsi="Arial" w:cs="Arial"/>
        </w:rPr>
      </w:pPr>
      <w:bookmarkStart w:id="84" w:name="art156§6"/>
      <w:bookmarkStart w:id="85" w:name="art156§7"/>
      <w:bookmarkEnd w:id="84"/>
      <w:bookmarkEnd w:id="85"/>
      <w:r>
        <w:rPr>
          <w:rFonts w:ascii="Arial" w:hAnsi="Arial" w:cs="Arial"/>
          <w:b/>
          <w:bCs/>
        </w:rPr>
        <w:t>23.3</w:t>
      </w:r>
      <w:r>
        <w:rPr>
          <w:rFonts w:ascii="Arial" w:hAnsi="Arial" w:cs="Arial"/>
        </w:rPr>
        <w:t xml:space="preserve"> As sanções previstas nas alíneas “a”, “c” e “d” do item 23.2. </w:t>
      </w:r>
      <w:proofErr w:type="gramStart"/>
      <w:r>
        <w:rPr>
          <w:rFonts w:ascii="Arial" w:hAnsi="Arial" w:cs="Arial"/>
        </w:rPr>
        <w:t>do</w:t>
      </w:r>
      <w:proofErr w:type="gramEnd"/>
      <w:r>
        <w:rPr>
          <w:rFonts w:ascii="Arial" w:hAnsi="Arial" w:cs="Arial"/>
        </w:rPr>
        <w:t xml:space="preserve"> presente Edital poderão ser aplicadas cumulativamente com a prevista na alínea “b” do mesmo item.</w:t>
      </w:r>
    </w:p>
    <w:p w:rsidR="00CE716E" w:rsidRDefault="00CE716E" w:rsidP="00CE716E">
      <w:pPr>
        <w:pStyle w:val="NormalWeb"/>
        <w:spacing w:before="0" w:beforeAutospacing="0" w:after="0" w:afterAutospacing="0" w:line="360" w:lineRule="auto"/>
        <w:jc w:val="both"/>
        <w:rPr>
          <w:rFonts w:ascii="Arial" w:hAnsi="Arial" w:cs="Arial"/>
        </w:rPr>
      </w:pPr>
      <w:bookmarkStart w:id="86" w:name="art156§8"/>
      <w:bookmarkEnd w:id="86"/>
      <w:r>
        <w:rPr>
          <w:rFonts w:ascii="Arial" w:hAnsi="Arial" w:cs="Arial"/>
          <w:b/>
          <w:bCs/>
        </w:rPr>
        <w:t xml:space="preserve">23.4. </w:t>
      </w:r>
      <w:r>
        <w:rPr>
          <w:rFonts w:ascii="Arial" w:hAnsi="Arial" w:cs="Arial"/>
        </w:rPr>
        <w:t xml:space="preserve">A aplicação de multa de mora não impedirá que a Administração a converta em compensatória e promova a extinção unilateral da ata de registro de preços </w:t>
      </w:r>
      <w:r>
        <w:rPr>
          <w:rFonts w:ascii="Arial" w:hAnsi="Arial" w:cs="Arial"/>
        </w:rPr>
        <w:lastRenderedPageBreak/>
        <w:t xml:space="preserve">e/ou contrato com a aplicação cumulada de outras sanções, conforme previsto no item 23.2 do presente Edital. </w:t>
      </w:r>
    </w:p>
    <w:p w:rsidR="00CE716E" w:rsidRDefault="00CE716E" w:rsidP="00CE716E">
      <w:pPr>
        <w:pStyle w:val="NormalWeb"/>
        <w:spacing w:before="0" w:beforeAutospacing="0" w:after="0" w:afterAutospacing="0" w:line="360" w:lineRule="auto"/>
        <w:jc w:val="both"/>
        <w:rPr>
          <w:rFonts w:ascii="Arial" w:hAnsi="Arial" w:cs="Arial"/>
        </w:rPr>
      </w:pPr>
      <w:r>
        <w:rPr>
          <w:rFonts w:ascii="Arial" w:hAnsi="Arial" w:cs="Arial"/>
          <w:b/>
          <w:bCs/>
        </w:rPr>
        <w:t>23.5.</w:t>
      </w:r>
      <w:r>
        <w:rPr>
          <w:rFonts w:ascii="Arial" w:hAnsi="Arial" w:cs="Arial"/>
        </w:rPr>
        <w:t xml:space="preserve"> Se a multa aplicada e as indenizações cabíveis forem superiores ao valor de pagamento eventualmente devido pela Administração ao contratado, além da perda desse valor, a diferença será descontada da garantia prestada ou será cobrada judicialmente.</w:t>
      </w:r>
    </w:p>
    <w:p w:rsidR="00CE716E" w:rsidRDefault="00CE716E" w:rsidP="00CE716E">
      <w:pPr>
        <w:pStyle w:val="NormalWeb"/>
        <w:spacing w:before="0" w:beforeAutospacing="0" w:after="0" w:afterAutospacing="0" w:line="360" w:lineRule="auto"/>
        <w:jc w:val="both"/>
        <w:rPr>
          <w:rFonts w:ascii="Arial" w:hAnsi="Arial" w:cs="Arial"/>
        </w:rPr>
      </w:pPr>
      <w:bookmarkStart w:id="87" w:name="art156§9"/>
      <w:bookmarkEnd w:id="87"/>
      <w:r>
        <w:rPr>
          <w:rFonts w:ascii="Arial" w:hAnsi="Arial" w:cs="Arial"/>
          <w:b/>
          <w:bCs/>
        </w:rPr>
        <w:t>23.6.</w:t>
      </w:r>
      <w:r>
        <w:rPr>
          <w:rFonts w:ascii="Arial" w:hAnsi="Arial" w:cs="Arial"/>
        </w:rPr>
        <w:t xml:space="preserve"> A aplicação das sanções previstas no item 23.2. </w:t>
      </w:r>
      <w:proofErr w:type="gramStart"/>
      <w:r>
        <w:rPr>
          <w:rFonts w:ascii="Arial" w:hAnsi="Arial" w:cs="Arial"/>
        </w:rPr>
        <w:t>deste</w:t>
      </w:r>
      <w:proofErr w:type="gramEnd"/>
      <w:r>
        <w:rPr>
          <w:rFonts w:ascii="Arial" w:hAnsi="Arial" w:cs="Arial"/>
        </w:rPr>
        <w:t xml:space="preserve"> Edital não exclui, em hipótese alguma, a obrigação de reparação integral do dano causado à Administração Pública.</w:t>
      </w:r>
    </w:p>
    <w:p w:rsidR="00CE716E" w:rsidRDefault="00CE716E" w:rsidP="00CE716E">
      <w:pPr>
        <w:pStyle w:val="NormalWeb"/>
        <w:spacing w:before="0" w:beforeAutospacing="0" w:after="0" w:afterAutospacing="0" w:line="360" w:lineRule="auto"/>
        <w:jc w:val="both"/>
        <w:rPr>
          <w:rFonts w:ascii="Arial" w:hAnsi="Arial" w:cs="Arial"/>
        </w:rPr>
      </w:pPr>
      <w:bookmarkStart w:id="88" w:name="art157"/>
      <w:bookmarkEnd w:id="88"/>
      <w:r>
        <w:rPr>
          <w:rFonts w:ascii="Arial" w:hAnsi="Arial" w:cs="Arial"/>
          <w:b/>
          <w:bCs/>
        </w:rPr>
        <w:t>23.7.</w:t>
      </w:r>
      <w:r>
        <w:rPr>
          <w:rFonts w:ascii="Arial" w:hAnsi="Arial" w:cs="Arial"/>
        </w:rPr>
        <w:t xml:space="preserve"> Na aplicação da sanção prevista no item 23.2, alínea “b”, do presente edital, será facultada a defesa do interessado no prazo de 15 (quinze) dias úteis, contado da data de sua intimação.</w:t>
      </w:r>
    </w:p>
    <w:p w:rsidR="00CE716E" w:rsidRDefault="00CE716E" w:rsidP="00CE716E">
      <w:pPr>
        <w:pStyle w:val="NormalWeb"/>
        <w:spacing w:before="0" w:beforeAutospacing="0" w:after="0" w:afterAutospacing="0" w:line="360" w:lineRule="auto"/>
        <w:jc w:val="both"/>
        <w:rPr>
          <w:rFonts w:ascii="Arial" w:hAnsi="Arial" w:cs="Arial"/>
        </w:rPr>
      </w:pPr>
      <w:bookmarkStart w:id="89" w:name="art158"/>
      <w:bookmarkEnd w:id="89"/>
      <w:r>
        <w:rPr>
          <w:rFonts w:ascii="Arial" w:hAnsi="Arial" w:cs="Arial"/>
          <w:b/>
          <w:bCs/>
        </w:rPr>
        <w:t>23.8.</w:t>
      </w:r>
      <w:r>
        <w:rPr>
          <w:rFonts w:ascii="Arial" w:hAnsi="Arial" w:cs="Arial"/>
        </w:rPr>
        <w:t xml:space="preserve"> Para aplicação das sanções previstas nas alíneas “c” e “d” do item 23.2 do presente Edital o licitante ou o contratado será intimado para, no prazo de 15 (quinze) dias úteis, contado da data de intimação, apresentar defesa escrita e especificar as provas que pretenda produzir.</w:t>
      </w:r>
      <w:bookmarkStart w:id="90" w:name="art158§1"/>
      <w:bookmarkStart w:id="91" w:name="art158§2"/>
      <w:bookmarkEnd w:id="90"/>
      <w:bookmarkEnd w:id="91"/>
    </w:p>
    <w:p w:rsidR="00CE716E" w:rsidRDefault="00CE716E" w:rsidP="00CE716E">
      <w:pPr>
        <w:pStyle w:val="NormalWeb"/>
        <w:spacing w:before="0" w:beforeAutospacing="0" w:after="0" w:afterAutospacing="0" w:line="360" w:lineRule="auto"/>
        <w:jc w:val="both"/>
        <w:rPr>
          <w:rFonts w:ascii="Arial" w:hAnsi="Arial" w:cs="Arial"/>
        </w:rPr>
      </w:pPr>
      <w:r>
        <w:rPr>
          <w:rFonts w:ascii="Arial" w:hAnsi="Arial" w:cs="Arial"/>
          <w:b/>
          <w:bCs/>
        </w:rPr>
        <w:t>23.9.</w:t>
      </w:r>
      <w:r>
        <w:rPr>
          <w:rFonts w:ascii="Arial" w:hAnsi="Arial" w:cs="Arial"/>
        </w:rPr>
        <w:t xml:space="preserve"> Na hipótese de deferimento de pedido de produção de novas provas ou de juntada de provas julgadas indispensáveis pela comissão, o licitante ou o contratado poderá apresentar alegações finais no prazo de 15 (quinze) dias úteis, contado da data da intimação.</w:t>
      </w:r>
    </w:p>
    <w:p w:rsidR="00CE716E" w:rsidRDefault="00CE716E" w:rsidP="00CE716E">
      <w:pPr>
        <w:pStyle w:val="NormalWeb"/>
        <w:spacing w:before="0" w:beforeAutospacing="0" w:after="0" w:afterAutospacing="0" w:line="360" w:lineRule="auto"/>
        <w:jc w:val="both"/>
        <w:rPr>
          <w:rFonts w:ascii="Arial" w:hAnsi="Arial" w:cs="Arial"/>
        </w:rPr>
      </w:pPr>
      <w:bookmarkStart w:id="92" w:name="art158§3"/>
      <w:bookmarkEnd w:id="92"/>
      <w:r>
        <w:rPr>
          <w:rFonts w:ascii="Arial" w:hAnsi="Arial" w:cs="Arial"/>
          <w:b/>
          <w:bCs/>
        </w:rPr>
        <w:t>23.10.</w:t>
      </w:r>
      <w:r>
        <w:rPr>
          <w:rFonts w:ascii="Arial" w:hAnsi="Arial" w:cs="Arial"/>
        </w:rPr>
        <w:t xml:space="preserve"> Serão indeferidas pela comissão, mediante decisão fundamentada, provas ilícitas, impertinentes, desnecessárias, protelatórias ou intempestivas.</w:t>
      </w:r>
    </w:p>
    <w:p w:rsidR="00CE716E" w:rsidRDefault="00CE716E" w:rsidP="00CE716E">
      <w:pPr>
        <w:pStyle w:val="NormalWeb"/>
        <w:spacing w:before="0" w:beforeAutospacing="0" w:after="0" w:afterAutospacing="0" w:line="360" w:lineRule="auto"/>
        <w:jc w:val="both"/>
        <w:rPr>
          <w:rFonts w:ascii="Arial" w:hAnsi="Arial" w:cs="Arial"/>
        </w:rPr>
      </w:pPr>
      <w:bookmarkStart w:id="93" w:name="art158§4"/>
      <w:bookmarkStart w:id="94" w:name="art160"/>
      <w:bookmarkEnd w:id="93"/>
      <w:bookmarkEnd w:id="94"/>
      <w:r>
        <w:rPr>
          <w:rFonts w:ascii="Arial" w:hAnsi="Arial" w:cs="Arial"/>
          <w:b/>
          <w:bCs/>
        </w:rPr>
        <w:t>23.11.</w:t>
      </w:r>
      <w:r>
        <w:rPr>
          <w:rFonts w:ascii="Arial" w:hAnsi="Arial" w:cs="Arial"/>
        </w:rPr>
        <w:t xml:space="preserve"> A personalidade jurídica poderá ser desconsiderada sempre que utilizada com abuso do direito para facilitar, encobrir ou dissimular a prática dos atos ilícitos previstos nesta Lei ou para provocar confusão patrimonial, e, nesse caso, todos os efeitos das sanções aplicadas à pessoa jurídica serão estendidos aos seus administradores e sócios com poderes de administração, a pessoa jurídica sucessora ou a empresa do mesmo ramo com relação de coligação ou controle, </w:t>
      </w:r>
      <w:r>
        <w:rPr>
          <w:rFonts w:ascii="Arial" w:hAnsi="Arial" w:cs="Arial"/>
        </w:rPr>
        <w:lastRenderedPageBreak/>
        <w:t>de fato ou de direito, com o sancionado, observados, em todos os casos, o contraditório, a ampla defesa e a obrigatoriedade de análise jurídica prévia.</w:t>
      </w:r>
    </w:p>
    <w:p w:rsidR="00CE716E" w:rsidRDefault="00CE716E" w:rsidP="00CE716E">
      <w:pPr>
        <w:pStyle w:val="NormalWeb"/>
        <w:spacing w:before="0" w:beforeAutospacing="0" w:after="0" w:afterAutospacing="0" w:line="360" w:lineRule="auto"/>
        <w:jc w:val="both"/>
        <w:rPr>
          <w:rFonts w:ascii="Arial" w:hAnsi="Arial" w:cs="Arial"/>
        </w:rPr>
      </w:pPr>
      <w:bookmarkStart w:id="95" w:name="art161"/>
      <w:bookmarkStart w:id="96" w:name="art162"/>
      <w:bookmarkStart w:id="97" w:name="art162p"/>
      <w:bookmarkStart w:id="98" w:name="art163"/>
      <w:bookmarkEnd w:id="95"/>
      <w:bookmarkEnd w:id="96"/>
      <w:bookmarkEnd w:id="97"/>
      <w:bookmarkEnd w:id="98"/>
      <w:r>
        <w:rPr>
          <w:rFonts w:ascii="Arial" w:hAnsi="Arial" w:cs="Arial"/>
          <w:b/>
          <w:bCs/>
        </w:rPr>
        <w:t>23.12.</w:t>
      </w:r>
      <w:r>
        <w:rPr>
          <w:rFonts w:ascii="Arial" w:hAnsi="Arial" w:cs="Arial"/>
        </w:rPr>
        <w:t xml:space="preserve"> É admitida a reabilitação do licitante ou contratado perante a própria autoridade que aplicou a penalidade, exigidos, cumulativamente:</w:t>
      </w:r>
    </w:p>
    <w:p w:rsidR="00CE716E" w:rsidRDefault="00CE716E" w:rsidP="00CE716E">
      <w:pPr>
        <w:pStyle w:val="NormalWeb"/>
        <w:spacing w:before="0" w:beforeAutospacing="0" w:after="0" w:afterAutospacing="0" w:line="360" w:lineRule="auto"/>
        <w:jc w:val="both"/>
        <w:rPr>
          <w:rFonts w:ascii="Arial" w:hAnsi="Arial" w:cs="Arial"/>
        </w:rPr>
      </w:pPr>
      <w:bookmarkStart w:id="99" w:name="art163i"/>
      <w:bookmarkEnd w:id="99"/>
      <w:r>
        <w:rPr>
          <w:rFonts w:ascii="Arial" w:hAnsi="Arial" w:cs="Arial"/>
          <w:b/>
          <w:bCs/>
        </w:rPr>
        <w:t>a)</w:t>
      </w:r>
      <w:r>
        <w:rPr>
          <w:rFonts w:ascii="Arial" w:hAnsi="Arial" w:cs="Arial"/>
        </w:rPr>
        <w:t xml:space="preserve"> reparação integral do dano causado à Administração Pública;</w:t>
      </w:r>
    </w:p>
    <w:p w:rsidR="00CE716E" w:rsidRDefault="00CE716E" w:rsidP="00CE716E">
      <w:pPr>
        <w:pStyle w:val="NormalWeb"/>
        <w:spacing w:before="0" w:beforeAutospacing="0" w:after="0" w:afterAutospacing="0" w:line="360" w:lineRule="auto"/>
        <w:jc w:val="both"/>
        <w:rPr>
          <w:rFonts w:ascii="Arial" w:hAnsi="Arial" w:cs="Arial"/>
        </w:rPr>
      </w:pPr>
      <w:bookmarkStart w:id="100" w:name="art163ii"/>
      <w:bookmarkEnd w:id="100"/>
      <w:r>
        <w:rPr>
          <w:rFonts w:ascii="Arial" w:hAnsi="Arial" w:cs="Arial"/>
          <w:b/>
          <w:bCs/>
        </w:rPr>
        <w:t>b)</w:t>
      </w:r>
      <w:r>
        <w:rPr>
          <w:rFonts w:ascii="Arial" w:hAnsi="Arial" w:cs="Arial"/>
        </w:rPr>
        <w:t xml:space="preserve"> pagamento da multa;</w:t>
      </w:r>
    </w:p>
    <w:p w:rsidR="00CE716E" w:rsidRDefault="00CE716E" w:rsidP="00CE716E">
      <w:pPr>
        <w:pStyle w:val="NormalWeb"/>
        <w:spacing w:before="0" w:beforeAutospacing="0" w:after="0" w:afterAutospacing="0" w:line="360" w:lineRule="auto"/>
        <w:jc w:val="both"/>
        <w:rPr>
          <w:rFonts w:ascii="Arial" w:hAnsi="Arial" w:cs="Arial"/>
        </w:rPr>
      </w:pPr>
      <w:bookmarkStart w:id="101" w:name="art163iii"/>
      <w:bookmarkEnd w:id="101"/>
      <w:r>
        <w:rPr>
          <w:rFonts w:ascii="Arial" w:hAnsi="Arial" w:cs="Arial"/>
          <w:b/>
          <w:bCs/>
        </w:rPr>
        <w:t>c)</w:t>
      </w:r>
      <w:r>
        <w:rPr>
          <w:rFonts w:ascii="Arial" w:hAnsi="Arial" w:cs="Arial"/>
        </w:rPr>
        <w:t xml:space="preserve"> transcurso do prazo mínimo de 1 (um) ano da aplicação da penalidade, no caso de impedimento de licitar e contratar, ou de 3 (três) anos da aplicação da penalidade, no caso de declaração de inidoneidade;</w:t>
      </w:r>
    </w:p>
    <w:p w:rsidR="00CE716E" w:rsidRDefault="00CE716E" w:rsidP="00CE716E">
      <w:pPr>
        <w:pStyle w:val="NormalWeb"/>
        <w:spacing w:before="0" w:beforeAutospacing="0" w:after="0" w:afterAutospacing="0" w:line="360" w:lineRule="auto"/>
        <w:jc w:val="both"/>
        <w:rPr>
          <w:rFonts w:ascii="Arial" w:hAnsi="Arial" w:cs="Arial"/>
        </w:rPr>
      </w:pPr>
      <w:bookmarkStart w:id="102" w:name="art163iv"/>
      <w:bookmarkEnd w:id="102"/>
      <w:r>
        <w:rPr>
          <w:rFonts w:ascii="Arial" w:hAnsi="Arial" w:cs="Arial"/>
          <w:b/>
          <w:bCs/>
        </w:rPr>
        <w:t>d)</w:t>
      </w:r>
      <w:r>
        <w:rPr>
          <w:rFonts w:ascii="Arial" w:hAnsi="Arial" w:cs="Arial"/>
        </w:rPr>
        <w:t xml:space="preserve"> cumprimento das condições de reabilitação definidas no ato punitivo;</w:t>
      </w:r>
    </w:p>
    <w:p w:rsidR="00CE716E" w:rsidRDefault="00CE716E" w:rsidP="00CE716E">
      <w:pPr>
        <w:pStyle w:val="NormalWeb"/>
        <w:spacing w:before="0" w:beforeAutospacing="0" w:after="0" w:afterAutospacing="0" w:line="360" w:lineRule="auto"/>
        <w:jc w:val="both"/>
        <w:rPr>
          <w:rFonts w:ascii="Arial" w:hAnsi="Arial" w:cs="Arial"/>
        </w:rPr>
      </w:pPr>
      <w:bookmarkStart w:id="103" w:name="art163v"/>
      <w:bookmarkEnd w:id="103"/>
      <w:r>
        <w:rPr>
          <w:rFonts w:ascii="Arial" w:hAnsi="Arial" w:cs="Arial"/>
          <w:b/>
          <w:bCs/>
        </w:rPr>
        <w:t>e)</w:t>
      </w:r>
      <w:r>
        <w:rPr>
          <w:rFonts w:ascii="Arial" w:hAnsi="Arial" w:cs="Arial"/>
        </w:rPr>
        <w:t xml:space="preserve"> análise jurídica prévia, com posicionamento conclusivo quanto ao cumprimento dos requisitos definidos neste artigo.</w:t>
      </w:r>
    </w:p>
    <w:p w:rsidR="00CE716E" w:rsidRDefault="00CE716E" w:rsidP="00CE716E">
      <w:pPr>
        <w:pStyle w:val="NormalWeb"/>
        <w:spacing w:before="0" w:beforeAutospacing="0" w:after="0" w:afterAutospacing="0" w:line="360" w:lineRule="auto"/>
        <w:jc w:val="both"/>
        <w:rPr>
          <w:rFonts w:ascii="Arial" w:hAnsi="Arial" w:cs="Arial"/>
        </w:rPr>
      </w:pPr>
      <w:bookmarkStart w:id="104" w:name="art163p"/>
      <w:bookmarkEnd w:id="104"/>
      <w:r>
        <w:rPr>
          <w:rFonts w:ascii="Arial" w:hAnsi="Arial" w:cs="Arial"/>
          <w:b/>
          <w:bCs/>
        </w:rPr>
        <w:t>23.13.</w:t>
      </w:r>
      <w:r>
        <w:rPr>
          <w:rFonts w:ascii="Arial" w:hAnsi="Arial" w:cs="Arial"/>
        </w:rPr>
        <w:t xml:space="preserve"> A sanção pelas infrações previstas nas alíneas “h” e “m” do item 23.2 do presente edital exigirá, como condição de reabilitação do licitante ou contratado, a implantação ou aperfeiçoamento de programa de integridade pelo responsável.</w:t>
      </w:r>
    </w:p>
    <w:p w:rsidR="00CE716E" w:rsidRDefault="00CE716E" w:rsidP="00CE716E">
      <w:pPr>
        <w:tabs>
          <w:tab w:val="left" w:pos="1134"/>
        </w:tabs>
        <w:spacing w:line="360" w:lineRule="auto"/>
        <w:jc w:val="both"/>
        <w:rPr>
          <w:rFonts w:cs="Arial"/>
          <w:b/>
          <w:sz w:val="24"/>
          <w:szCs w:val="24"/>
        </w:rPr>
      </w:pPr>
    </w:p>
    <w:p w:rsidR="00CE716E" w:rsidRDefault="00CE716E" w:rsidP="00CE716E">
      <w:pPr>
        <w:tabs>
          <w:tab w:val="left" w:pos="1134"/>
        </w:tabs>
        <w:spacing w:line="360" w:lineRule="auto"/>
        <w:jc w:val="both"/>
        <w:rPr>
          <w:rFonts w:cs="Arial"/>
          <w:b/>
          <w:sz w:val="24"/>
          <w:szCs w:val="24"/>
        </w:rPr>
      </w:pPr>
      <w:r>
        <w:rPr>
          <w:rFonts w:cs="Arial"/>
          <w:b/>
          <w:sz w:val="24"/>
          <w:szCs w:val="24"/>
        </w:rPr>
        <w:t>24. PEDIDOS DE ESCLARECIMENTOS E IMPUGNAÇÕES</w:t>
      </w:r>
    </w:p>
    <w:p w:rsidR="00CE716E" w:rsidRDefault="00CE716E" w:rsidP="00CE716E">
      <w:pPr>
        <w:spacing w:line="360" w:lineRule="auto"/>
        <w:jc w:val="both"/>
        <w:rPr>
          <w:rFonts w:cs="Arial"/>
          <w:sz w:val="24"/>
          <w:szCs w:val="24"/>
          <w:lang w:eastAsia="hi-IN"/>
        </w:rPr>
      </w:pPr>
      <w:r>
        <w:rPr>
          <w:rFonts w:cs="Arial"/>
          <w:b/>
          <w:bCs/>
          <w:sz w:val="24"/>
          <w:szCs w:val="24"/>
        </w:rPr>
        <w:t xml:space="preserve">24.1. </w:t>
      </w:r>
      <w:r>
        <w:rPr>
          <w:rFonts w:cs="Arial"/>
          <w:sz w:val="24"/>
          <w:szCs w:val="24"/>
        </w:rPr>
        <w:t xml:space="preserve">Os pedidos de esclarecimentos referentes ao processo licitatório e os pedidos de impugnações poderão ser enviados ao pregoeiro, até três dias úteis anteriores à data fixada para abertura da sessão pública, por meio do seguinte endereço eletrônico: </w:t>
      </w:r>
      <w:r>
        <w:rPr>
          <w:rFonts w:cs="Arial"/>
          <w:bCs/>
          <w:sz w:val="24"/>
          <w:szCs w:val="24"/>
        </w:rPr>
        <w:t>compraspmsamissoes@hotmail.com</w:t>
      </w:r>
      <w:r>
        <w:rPr>
          <w:rFonts w:cs="Arial"/>
          <w:sz w:val="24"/>
          <w:szCs w:val="24"/>
        </w:rPr>
        <w:t>.</w:t>
      </w:r>
    </w:p>
    <w:p w:rsidR="00CE716E" w:rsidRDefault="00CE716E" w:rsidP="00CE716E">
      <w:pPr>
        <w:spacing w:line="360" w:lineRule="auto"/>
        <w:jc w:val="both"/>
        <w:rPr>
          <w:rFonts w:cs="Arial"/>
          <w:sz w:val="24"/>
          <w:szCs w:val="24"/>
        </w:rPr>
      </w:pPr>
      <w:r>
        <w:rPr>
          <w:rFonts w:cs="Arial"/>
          <w:b/>
          <w:bCs/>
          <w:sz w:val="24"/>
          <w:szCs w:val="24"/>
        </w:rPr>
        <w:t>24.2.</w:t>
      </w:r>
      <w:r>
        <w:rPr>
          <w:rFonts w:cs="Arial"/>
          <w:sz w:val="24"/>
          <w:szCs w:val="24"/>
        </w:rPr>
        <w:t xml:space="preserve">  As respostas aos pedidos de esclarecimentos e às impugnações serão divulgadas no seguinte sítio eletrônico da Administração </w:t>
      </w:r>
      <w:r>
        <w:rPr>
          <w:rFonts w:cs="Arial"/>
          <w:bCs/>
          <w:sz w:val="24"/>
          <w:szCs w:val="24"/>
        </w:rPr>
        <w:t>compraspmsamissoes@hotmail.com</w:t>
      </w:r>
      <w:r>
        <w:rPr>
          <w:rFonts w:cs="Arial"/>
          <w:sz w:val="24"/>
          <w:szCs w:val="24"/>
        </w:rPr>
        <w:t>.</w:t>
      </w:r>
    </w:p>
    <w:p w:rsidR="00CE716E" w:rsidRDefault="00CE716E" w:rsidP="00CE716E">
      <w:pPr>
        <w:spacing w:line="360" w:lineRule="auto"/>
        <w:jc w:val="both"/>
        <w:rPr>
          <w:rFonts w:cs="Arial"/>
          <w:sz w:val="24"/>
          <w:szCs w:val="24"/>
        </w:rPr>
      </w:pPr>
    </w:p>
    <w:p w:rsidR="00CE716E" w:rsidRDefault="00CE716E" w:rsidP="00CE716E">
      <w:pPr>
        <w:tabs>
          <w:tab w:val="left" w:pos="1134"/>
        </w:tabs>
        <w:spacing w:line="360" w:lineRule="auto"/>
        <w:jc w:val="both"/>
        <w:rPr>
          <w:rFonts w:cs="Arial"/>
          <w:b/>
          <w:sz w:val="24"/>
          <w:szCs w:val="24"/>
        </w:rPr>
      </w:pPr>
      <w:r>
        <w:rPr>
          <w:rFonts w:cs="Arial"/>
          <w:b/>
          <w:sz w:val="24"/>
          <w:szCs w:val="24"/>
        </w:rPr>
        <w:t>25. DAS DISPOSIÇÕES GERAIS:</w:t>
      </w:r>
    </w:p>
    <w:p w:rsidR="00CE716E" w:rsidRDefault="00CE716E" w:rsidP="00CE716E">
      <w:pPr>
        <w:tabs>
          <w:tab w:val="left" w:pos="1134"/>
        </w:tabs>
        <w:spacing w:line="360" w:lineRule="auto"/>
        <w:jc w:val="both"/>
        <w:rPr>
          <w:rFonts w:cs="Arial"/>
          <w:sz w:val="24"/>
          <w:szCs w:val="24"/>
        </w:rPr>
      </w:pPr>
      <w:r>
        <w:rPr>
          <w:rFonts w:cs="Arial"/>
          <w:b/>
          <w:sz w:val="24"/>
          <w:szCs w:val="24"/>
        </w:rPr>
        <w:t xml:space="preserve">25.1. </w:t>
      </w:r>
      <w:r>
        <w:rPr>
          <w:rFonts w:cs="Arial"/>
          <w:sz w:val="24"/>
          <w:szCs w:val="24"/>
        </w:rPr>
        <w:t>Após a apresentação da proposta, não caberá desistência, salvo por motivo justo decorrente de fato superveniente e aceito pelo pregoeiro.</w:t>
      </w:r>
    </w:p>
    <w:p w:rsidR="00CE716E" w:rsidRDefault="00CE716E" w:rsidP="00CE716E">
      <w:pPr>
        <w:tabs>
          <w:tab w:val="left" w:pos="1134"/>
        </w:tabs>
        <w:spacing w:line="360" w:lineRule="auto"/>
        <w:jc w:val="both"/>
        <w:rPr>
          <w:rFonts w:cs="Arial"/>
          <w:sz w:val="24"/>
          <w:szCs w:val="24"/>
        </w:rPr>
      </w:pPr>
      <w:r>
        <w:rPr>
          <w:rFonts w:cs="Arial"/>
          <w:b/>
          <w:bCs/>
          <w:sz w:val="24"/>
          <w:szCs w:val="24"/>
        </w:rPr>
        <w:lastRenderedPageBreak/>
        <w:t>25.2.</w:t>
      </w:r>
      <w:r>
        <w:rPr>
          <w:rFonts w:cs="Arial"/>
          <w:sz w:val="24"/>
          <w:szCs w:val="24"/>
        </w:rPr>
        <w:t xml:space="preserve"> A Administração tem a prerrogativa de fiscalizar o cumprimento satisfatório do objeto do presente edital, por meio de agente designado para tal função, conforme o disposto na Lei nº 14.133/2021.</w:t>
      </w:r>
    </w:p>
    <w:p w:rsidR="00CE716E" w:rsidRDefault="00CE716E" w:rsidP="00CE716E">
      <w:pPr>
        <w:pStyle w:val="Nivel2"/>
        <w:numPr>
          <w:ilvl w:val="0"/>
          <w:numId w:val="0"/>
        </w:numPr>
        <w:spacing w:before="0" w:after="0" w:line="360" w:lineRule="auto"/>
        <w:rPr>
          <w:b/>
          <w:sz w:val="24"/>
          <w:szCs w:val="24"/>
        </w:rPr>
      </w:pPr>
      <w:r>
        <w:rPr>
          <w:b/>
          <w:sz w:val="24"/>
          <w:szCs w:val="24"/>
        </w:rPr>
        <w:t xml:space="preserve">25.3. </w:t>
      </w:r>
      <w:r>
        <w:rPr>
          <w:sz w:val="24"/>
          <w:szCs w:val="24"/>
        </w:rPr>
        <w:t>A existência de preços registrados implicará compromisso de fornecimento nas condições estabelecidas, mas não obrigará a Administração a contratar, facultada a realização de licitação específica para a aquisição pretendida, desde que devidamente motivada.</w:t>
      </w:r>
    </w:p>
    <w:p w:rsidR="00CE716E" w:rsidRDefault="00CE716E" w:rsidP="00CE716E">
      <w:pPr>
        <w:pStyle w:val="Nivel2"/>
        <w:numPr>
          <w:ilvl w:val="0"/>
          <w:numId w:val="0"/>
        </w:numPr>
        <w:spacing w:before="0" w:after="0" w:line="360" w:lineRule="auto"/>
        <w:rPr>
          <w:rFonts w:eastAsia="Times New Roman"/>
          <w:sz w:val="24"/>
          <w:szCs w:val="24"/>
        </w:rPr>
      </w:pPr>
      <w:r>
        <w:rPr>
          <w:b/>
          <w:bCs/>
          <w:sz w:val="24"/>
          <w:szCs w:val="24"/>
        </w:rPr>
        <w:t>25.4</w:t>
      </w:r>
      <w:r>
        <w:rPr>
          <w:sz w:val="24"/>
          <w:szCs w:val="24"/>
        </w:rPr>
        <w:t>. Não havendo expediente ou ocorrendo qualquer fato superveniente que impeça a realização do certame na data marcada, a sessão será automaticamente transferida para o primeiro dia útil subsequente, no mesmo horário anteriormente estabelecido, desde que não haja comunicação em contrário, pelo Pregoeiro.</w:t>
      </w:r>
    </w:p>
    <w:p w:rsidR="00CE716E" w:rsidRDefault="00CE716E" w:rsidP="00CE716E">
      <w:pPr>
        <w:pStyle w:val="Nivel2"/>
        <w:numPr>
          <w:ilvl w:val="0"/>
          <w:numId w:val="0"/>
        </w:numPr>
        <w:spacing w:before="0" w:after="0" w:line="360" w:lineRule="auto"/>
        <w:ind w:left="567" w:hanging="567"/>
        <w:rPr>
          <w:rFonts w:eastAsia="Times New Roman"/>
          <w:sz w:val="24"/>
          <w:szCs w:val="24"/>
        </w:rPr>
      </w:pPr>
      <w:r>
        <w:rPr>
          <w:b/>
          <w:bCs/>
          <w:sz w:val="24"/>
          <w:szCs w:val="24"/>
        </w:rPr>
        <w:t>25.5.</w:t>
      </w:r>
      <w:r>
        <w:rPr>
          <w:sz w:val="24"/>
          <w:szCs w:val="24"/>
        </w:rPr>
        <w:t xml:space="preserve"> A homologação do resultado desta licitação não implicará direito à contratação.</w:t>
      </w:r>
    </w:p>
    <w:p w:rsidR="00CE716E" w:rsidRDefault="00CE716E" w:rsidP="00CE716E">
      <w:pPr>
        <w:pStyle w:val="Nivel2"/>
        <w:numPr>
          <w:ilvl w:val="0"/>
          <w:numId w:val="0"/>
        </w:numPr>
        <w:spacing w:before="0" w:after="0" w:line="360" w:lineRule="auto"/>
        <w:rPr>
          <w:rFonts w:eastAsia="Times New Roman"/>
          <w:sz w:val="24"/>
          <w:szCs w:val="24"/>
        </w:rPr>
      </w:pPr>
      <w:r>
        <w:rPr>
          <w:b/>
          <w:bCs/>
          <w:sz w:val="24"/>
          <w:szCs w:val="24"/>
        </w:rPr>
        <w:t>25.6.</w:t>
      </w:r>
      <w:r>
        <w:rPr>
          <w:sz w:val="24"/>
          <w:szCs w:val="24"/>
        </w:rPr>
        <w:t xml:space="preserve"> As normas disciplinadoras da licitação serão sempre interpretadas em favor da ampliação da disputa entre os interessados, desde que não comprometam o interesse da Administração, o princípio da isonomia, a finalidade e a segurança da contratação. </w:t>
      </w:r>
    </w:p>
    <w:p w:rsidR="00CE716E" w:rsidRDefault="00CE716E" w:rsidP="00CE716E">
      <w:pPr>
        <w:pStyle w:val="Nivel2"/>
        <w:numPr>
          <w:ilvl w:val="0"/>
          <w:numId w:val="0"/>
        </w:numPr>
        <w:spacing w:before="0" w:after="0" w:line="360" w:lineRule="auto"/>
        <w:rPr>
          <w:rFonts w:eastAsia="Times New Roman"/>
          <w:sz w:val="24"/>
          <w:szCs w:val="24"/>
        </w:rPr>
      </w:pPr>
      <w:r>
        <w:rPr>
          <w:b/>
          <w:bCs/>
          <w:sz w:val="24"/>
          <w:szCs w:val="24"/>
        </w:rPr>
        <w:t>25.7.</w:t>
      </w:r>
      <w:r>
        <w:rPr>
          <w:sz w:val="24"/>
          <w:szCs w:val="24"/>
        </w:rPr>
        <w:t xml:space="preserve"> Os licitantes assumem todos os custos de preparação e apresentação de suas propostas e a Administração não será, em nenhum caso, responsável por esses custos, independentemente da condução ou do resultado do processo licitatório.</w:t>
      </w:r>
    </w:p>
    <w:p w:rsidR="00CE716E" w:rsidRDefault="00CE716E" w:rsidP="00CE716E">
      <w:pPr>
        <w:tabs>
          <w:tab w:val="left" w:pos="1134"/>
        </w:tabs>
        <w:spacing w:line="360" w:lineRule="auto"/>
        <w:jc w:val="both"/>
        <w:rPr>
          <w:sz w:val="24"/>
          <w:szCs w:val="24"/>
        </w:rPr>
      </w:pPr>
      <w:r>
        <w:rPr>
          <w:b/>
          <w:bCs/>
          <w:sz w:val="24"/>
          <w:szCs w:val="24"/>
        </w:rPr>
        <w:t>25.8.</w:t>
      </w:r>
      <w:r>
        <w:rPr>
          <w:sz w:val="24"/>
          <w:szCs w:val="24"/>
        </w:rPr>
        <w:t xml:space="preserve"> Na contagem dos prazos estabelecidos neste Edital e seus Anexos, excluir-se-á o dia do início e incluir-se-á o do vencimento, e só se iniciam e vencem os prazos em dias de expediente na Administração.</w:t>
      </w:r>
    </w:p>
    <w:p w:rsidR="00CE716E" w:rsidRDefault="00CE716E" w:rsidP="00CE716E">
      <w:pPr>
        <w:pStyle w:val="Nivel2"/>
        <w:numPr>
          <w:ilvl w:val="0"/>
          <w:numId w:val="0"/>
        </w:numPr>
        <w:spacing w:before="0" w:after="0" w:line="360" w:lineRule="auto"/>
        <w:rPr>
          <w:sz w:val="24"/>
          <w:szCs w:val="24"/>
        </w:rPr>
      </w:pPr>
      <w:r>
        <w:rPr>
          <w:b/>
          <w:bCs/>
          <w:sz w:val="24"/>
          <w:szCs w:val="24"/>
        </w:rPr>
        <w:t>25.9.</w:t>
      </w:r>
      <w:r>
        <w:rPr>
          <w:sz w:val="24"/>
          <w:szCs w:val="24"/>
        </w:rPr>
        <w:t xml:space="preserve"> O desatendimento de exigências formais não essenciais não importará o afastamento do licitante, desde que seja possível o aproveitamento do ato, observados os princípios da isonomia e do interesse público.</w:t>
      </w:r>
    </w:p>
    <w:p w:rsidR="00CE716E" w:rsidRDefault="00CE716E" w:rsidP="00CE716E">
      <w:pPr>
        <w:pStyle w:val="Nivel2"/>
        <w:numPr>
          <w:ilvl w:val="0"/>
          <w:numId w:val="0"/>
        </w:numPr>
        <w:spacing w:before="0" w:after="0" w:line="360" w:lineRule="auto"/>
        <w:rPr>
          <w:sz w:val="24"/>
          <w:szCs w:val="24"/>
        </w:rPr>
      </w:pPr>
      <w:r>
        <w:rPr>
          <w:b/>
          <w:bCs/>
          <w:sz w:val="24"/>
          <w:szCs w:val="24"/>
        </w:rPr>
        <w:lastRenderedPageBreak/>
        <w:t>25.10.</w:t>
      </w:r>
      <w:r>
        <w:rPr>
          <w:sz w:val="24"/>
          <w:szCs w:val="24"/>
        </w:rPr>
        <w:t xml:space="preserve"> Em caso de divergência entre disposições deste Edital e de seus anexos ou demais peças que compõem o processo, prevalecerá as deste Edital.</w:t>
      </w:r>
    </w:p>
    <w:p w:rsidR="00CE716E" w:rsidRDefault="00CE716E" w:rsidP="00CE716E">
      <w:pPr>
        <w:pStyle w:val="Nivel2"/>
        <w:numPr>
          <w:ilvl w:val="0"/>
          <w:numId w:val="0"/>
        </w:numPr>
        <w:spacing w:before="0" w:after="0" w:line="360" w:lineRule="auto"/>
        <w:rPr>
          <w:sz w:val="24"/>
          <w:szCs w:val="24"/>
        </w:rPr>
      </w:pPr>
      <w:r>
        <w:rPr>
          <w:b/>
          <w:bCs/>
          <w:sz w:val="24"/>
          <w:szCs w:val="24"/>
        </w:rPr>
        <w:t xml:space="preserve">25.11. </w:t>
      </w:r>
      <w:r>
        <w:rPr>
          <w:sz w:val="24"/>
          <w:szCs w:val="24"/>
        </w:rPr>
        <w:t>Fica eleito o Foro da Comarca de Santo Antônio das Missões-RS para dirimir quaisquer litígios oriundos da licitação e da ata de registro de preços e/ou contrato dela decorrente, com expressa renúncia a outro qualquer, por mais privilegiado que seja.</w:t>
      </w:r>
    </w:p>
    <w:p w:rsidR="00CE716E" w:rsidRDefault="00CE716E" w:rsidP="00CE716E">
      <w:pPr>
        <w:pStyle w:val="Nivel2"/>
        <w:numPr>
          <w:ilvl w:val="0"/>
          <w:numId w:val="0"/>
        </w:numPr>
        <w:spacing w:before="0" w:after="0" w:line="360" w:lineRule="auto"/>
        <w:rPr>
          <w:sz w:val="24"/>
          <w:szCs w:val="24"/>
        </w:rPr>
      </w:pPr>
    </w:p>
    <w:p w:rsidR="00CE716E" w:rsidRDefault="00FD6A1B" w:rsidP="00CE716E">
      <w:pPr>
        <w:tabs>
          <w:tab w:val="left" w:pos="1134"/>
        </w:tabs>
        <w:spacing w:line="360" w:lineRule="auto"/>
        <w:jc w:val="center"/>
        <w:rPr>
          <w:rFonts w:cs="Arial"/>
          <w:b/>
          <w:bCs/>
          <w:sz w:val="24"/>
          <w:szCs w:val="24"/>
        </w:rPr>
      </w:pPr>
      <w:r>
        <w:rPr>
          <w:rFonts w:cs="Arial"/>
          <w:b/>
          <w:bCs/>
          <w:sz w:val="24"/>
          <w:szCs w:val="24"/>
        </w:rPr>
        <w:t>Santo Antônio das Missões-RS, 14</w:t>
      </w:r>
      <w:r w:rsidR="00CE716E">
        <w:rPr>
          <w:rFonts w:cs="Arial"/>
          <w:b/>
          <w:bCs/>
          <w:sz w:val="24"/>
          <w:szCs w:val="24"/>
        </w:rPr>
        <w:t xml:space="preserve"> de fevereiro de 2025.</w:t>
      </w:r>
    </w:p>
    <w:p w:rsidR="00CE716E" w:rsidRDefault="00CE716E" w:rsidP="00CE716E">
      <w:pPr>
        <w:tabs>
          <w:tab w:val="left" w:pos="1134"/>
        </w:tabs>
        <w:spacing w:line="360" w:lineRule="auto"/>
        <w:jc w:val="both"/>
        <w:rPr>
          <w:rFonts w:cs="Arial"/>
          <w:b/>
          <w:bCs/>
          <w:sz w:val="24"/>
          <w:szCs w:val="24"/>
        </w:rPr>
      </w:pPr>
    </w:p>
    <w:p w:rsidR="00CE716E" w:rsidRDefault="00CE716E" w:rsidP="00CE716E">
      <w:pPr>
        <w:pStyle w:val="Corpodetexto"/>
        <w:jc w:val="center"/>
        <w:rPr>
          <w:sz w:val="24"/>
          <w:szCs w:val="24"/>
        </w:rPr>
      </w:pPr>
      <w:r>
        <w:rPr>
          <w:sz w:val="24"/>
          <w:szCs w:val="24"/>
        </w:rPr>
        <w:t>_________________________________________</w:t>
      </w:r>
    </w:p>
    <w:p w:rsidR="00CE716E" w:rsidRDefault="00FD6A1B" w:rsidP="00CE716E">
      <w:pPr>
        <w:pStyle w:val="Corpodetexto"/>
        <w:jc w:val="center"/>
        <w:rPr>
          <w:sz w:val="24"/>
          <w:szCs w:val="24"/>
        </w:rPr>
      </w:pPr>
      <w:r>
        <w:rPr>
          <w:sz w:val="24"/>
          <w:szCs w:val="24"/>
        </w:rPr>
        <w:t>FELISBERTO DOS SANTOS FERREIRA</w:t>
      </w:r>
      <w:r w:rsidR="00CE716E">
        <w:rPr>
          <w:sz w:val="24"/>
          <w:szCs w:val="24"/>
        </w:rPr>
        <w:t>.</w:t>
      </w:r>
    </w:p>
    <w:p w:rsidR="00CE716E" w:rsidRDefault="00CE716E" w:rsidP="00CE716E">
      <w:pPr>
        <w:pStyle w:val="Corpodetexto"/>
        <w:jc w:val="center"/>
        <w:rPr>
          <w:sz w:val="24"/>
          <w:szCs w:val="24"/>
        </w:rPr>
      </w:pPr>
      <w:r>
        <w:rPr>
          <w:noProof/>
          <w:lang w:eastAsia="pt-BR"/>
        </w:rPr>
        <mc:AlternateContent>
          <mc:Choice Requires="wps">
            <w:drawing>
              <wp:anchor distT="0" distB="0" distL="0" distR="0" simplePos="0" relativeHeight="251659264" behindDoc="1" locked="0" layoutInCell="1" allowOverlap="1">
                <wp:simplePos x="0" y="0"/>
                <wp:positionH relativeFrom="margin">
                  <wp:align>left</wp:align>
                </wp:positionH>
                <wp:positionV relativeFrom="paragraph">
                  <wp:posOffset>373380</wp:posOffset>
                </wp:positionV>
                <wp:extent cx="2681605" cy="1685925"/>
                <wp:effectExtent l="0" t="0" r="23495" b="28575"/>
                <wp:wrapTopAndBottom/>
                <wp:docPr id="2"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81605" cy="1685925"/>
                        </a:xfrm>
                        <a:prstGeom prst="rect">
                          <a:avLst/>
                        </a:prstGeom>
                        <a:noFill/>
                        <a:ln w="12192">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CE716E" w:rsidRDefault="00CE716E" w:rsidP="00CE716E">
                            <w:pPr>
                              <w:pStyle w:val="Corpodetexto"/>
                              <w:spacing w:before="120" w:line="360" w:lineRule="auto"/>
                              <w:ind w:left="60" w:right="54"/>
                            </w:pPr>
                            <w:r>
                              <w:t>Este</w:t>
                            </w:r>
                            <w:r>
                              <w:rPr>
                                <w:spacing w:val="22"/>
                              </w:rPr>
                              <w:t xml:space="preserve"> </w:t>
                            </w:r>
                            <w:r>
                              <w:t>edital</w:t>
                            </w:r>
                            <w:r>
                              <w:rPr>
                                <w:spacing w:val="21"/>
                              </w:rPr>
                              <w:t xml:space="preserve"> </w:t>
                            </w:r>
                            <w:r>
                              <w:t>foi</w:t>
                            </w:r>
                            <w:r>
                              <w:rPr>
                                <w:spacing w:val="21"/>
                              </w:rPr>
                              <w:t xml:space="preserve"> </w:t>
                            </w:r>
                            <w:r>
                              <w:t>devidamente</w:t>
                            </w:r>
                            <w:r>
                              <w:rPr>
                                <w:spacing w:val="22"/>
                              </w:rPr>
                              <w:t xml:space="preserve"> </w:t>
                            </w:r>
                            <w:r>
                              <w:t>examinado</w:t>
                            </w:r>
                            <w:r>
                              <w:rPr>
                                <w:spacing w:val="21"/>
                              </w:rPr>
                              <w:t xml:space="preserve"> </w:t>
                            </w:r>
                            <w:r>
                              <w:t>e</w:t>
                            </w:r>
                            <w:r>
                              <w:rPr>
                                <w:spacing w:val="-58"/>
                              </w:rPr>
                              <w:t xml:space="preserve"> </w:t>
                            </w:r>
                            <w:r>
                              <w:t>aprovado</w:t>
                            </w:r>
                            <w:r>
                              <w:rPr>
                                <w:spacing w:val="-1"/>
                              </w:rPr>
                              <w:t xml:space="preserve"> </w:t>
                            </w:r>
                            <w:r>
                              <w:t>por</w:t>
                            </w:r>
                            <w:r>
                              <w:rPr>
                                <w:spacing w:val="1"/>
                              </w:rPr>
                              <w:t xml:space="preserve"> </w:t>
                            </w:r>
                            <w:r>
                              <w:t>esta</w:t>
                            </w:r>
                            <w:r>
                              <w:rPr>
                                <w:spacing w:val="-3"/>
                              </w:rPr>
                              <w:t xml:space="preserve"> </w:t>
                            </w:r>
                            <w:r>
                              <w:t>Assessoria Jurídica.</w:t>
                            </w:r>
                          </w:p>
                          <w:p w:rsidR="00CE716E" w:rsidRDefault="00CE716E" w:rsidP="00CE716E">
                            <w:pPr>
                              <w:pStyle w:val="Corpodetexto"/>
                              <w:tabs>
                                <w:tab w:val="left" w:leader="hyphen" w:pos="1823"/>
                                <w:tab w:val="left" w:pos="2856"/>
                              </w:tabs>
                              <w:spacing w:before="119"/>
                              <w:ind w:left="60"/>
                            </w:pPr>
                            <w:r>
                              <w:t xml:space="preserve">Em </w:t>
                            </w:r>
                            <w:r>
                              <w:tab/>
                            </w:r>
                            <w:r>
                              <w:rPr>
                                <w:u w:val="single"/>
                              </w:rPr>
                              <w:t xml:space="preserve"> </w:t>
                            </w:r>
                            <w:r>
                              <w:rPr>
                                <w:u w:val="single"/>
                              </w:rPr>
                              <w:tab/>
                            </w:r>
                          </w:p>
                          <w:p w:rsidR="00CE716E" w:rsidRDefault="00CE716E" w:rsidP="00CE716E">
                            <w:pPr>
                              <w:pStyle w:val="Corpodetexto"/>
                              <w:rPr>
                                <w:sz w:val="24"/>
                              </w:rPr>
                            </w:pPr>
                          </w:p>
                          <w:p w:rsidR="00CE716E" w:rsidRDefault="00CE716E" w:rsidP="00CE716E">
                            <w:pPr>
                              <w:pStyle w:val="Corpodetexto"/>
                              <w:rPr>
                                <w:sz w:val="24"/>
                              </w:rPr>
                            </w:pPr>
                          </w:p>
                          <w:p w:rsidR="00CE716E" w:rsidRDefault="00CE716E" w:rsidP="00CE716E">
                            <w:pPr>
                              <w:pStyle w:val="Corpodetexto"/>
                              <w:spacing w:before="194"/>
                              <w:ind w:left="979"/>
                            </w:pPr>
                            <w:proofErr w:type="gramStart"/>
                            <w:r>
                              <w:t>Assessor(</w:t>
                            </w:r>
                            <w:proofErr w:type="gramEnd"/>
                            <w:r>
                              <w:t>a)</w:t>
                            </w:r>
                            <w:r>
                              <w:rPr>
                                <w:spacing w:val="-6"/>
                              </w:rPr>
                              <w:t xml:space="preserve"> </w:t>
                            </w:r>
                            <w:r>
                              <w:t>Jurídico(a)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Caixa de Texto 2" o:spid="_x0000_s1026" type="#_x0000_t202" style="position:absolute;left:0;text-align:left;margin-left:0;margin-top:29.4pt;width:211.15pt;height:132.75pt;z-index:-251657216;visibility:visible;mso-wrap-style:square;mso-width-percent:0;mso-height-percent:0;mso-wrap-distance-left:0;mso-wrap-distance-top:0;mso-wrap-distance-right:0;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" filled="f" strokeweight=".96pt">
                <v:textbox inset="0,0,0,0">
                  <w:txbxContent>
                    <w:p w:rsidR="00CE716E" w:rsidRDefault="00CE716E" w:rsidP="00CE716E">
                      <w:pPr>
                        <w:pStyle w:val="Corpodetexto"/>
                        <w:spacing w:before="120" w:line="360" w:lineRule="auto"/>
                        <w:ind w:left="60" w:right="54"/>
                      </w:pPr>
                      <w:r>
                        <w:t>Este</w:t>
                      </w:r>
                      <w:r>
                        <w:rPr>
                          <w:spacing w:val="22"/>
                        </w:rPr>
                        <w:t xml:space="preserve"> </w:t>
                      </w:r>
                      <w:r>
                        <w:t>edital</w:t>
                      </w:r>
                      <w:r>
                        <w:rPr>
                          <w:spacing w:val="21"/>
                        </w:rPr>
                        <w:t xml:space="preserve"> </w:t>
                      </w:r>
                      <w:r>
                        <w:t>foi</w:t>
                      </w:r>
                      <w:r>
                        <w:rPr>
                          <w:spacing w:val="21"/>
                        </w:rPr>
                        <w:t xml:space="preserve"> </w:t>
                      </w:r>
                      <w:r>
                        <w:t>devidamente</w:t>
                      </w:r>
                      <w:r>
                        <w:rPr>
                          <w:spacing w:val="22"/>
                        </w:rPr>
                        <w:t xml:space="preserve"> </w:t>
                      </w:r>
                      <w:r>
                        <w:t>examinado</w:t>
                      </w:r>
                      <w:r>
                        <w:rPr>
                          <w:spacing w:val="21"/>
                        </w:rPr>
                        <w:t xml:space="preserve"> </w:t>
                      </w:r>
                      <w:r>
                        <w:t>e</w:t>
                      </w:r>
                      <w:r>
                        <w:rPr>
                          <w:spacing w:val="-58"/>
                        </w:rPr>
                        <w:t xml:space="preserve"> </w:t>
                      </w:r>
                      <w:r>
                        <w:t>aprovado</w:t>
                      </w:r>
                      <w:r>
                        <w:rPr>
                          <w:spacing w:val="-1"/>
                        </w:rPr>
                        <w:t xml:space="preserve"> </w:t>
                      </w:r>
                      <w:r>
                        <w:t>por</w:t>
                      </w:r>
                      <w:r>
                        <w:rPr>
                          <w:spacing w:val="1"/>
                        </w:rPr>
                        <w:t xml:space="preserve"> </w:t>
                      </w:r>
                      <w:r>
                        <w:t>esta</w:t>
                      </w:r>
                      <w:r>
                        <w:rPr>
                          <w:spacing w:val="-3"/>
                        </w:rPr>
                        <w:t xml:space="preserve"> </w:t>
                      </w:r>
                      <w:r>
                        <w:t>Assessoria Jurídica.</w:t>
                      </w:r>
                    </w:p>
                    <w:p w:rsidR="00CE716E" w:rsidRDefault="00CE716E" w:rsidP="00CE716E">
                      <w:pPr>
                        <w:pStyle w:val="Corpodetexto"/>
                        <w:tabs>
                          <w:tab w:val="left" w:leader="hyphen" w:pos="1823"/>
                          <w:tab w:val="left" w:pos="2856"/>
                        </w:tabs>
                        <w:spacing w:before="119"/>
                        <w:ind w:left="60"/>
                      </w:pPr>
                      <w:r>
                        <w:t xml:space="preserve">Em </w:t>
                      </w:r>
                      <w:r>
                        <w:tab/>
                      </w:r>
                      <w:r>
                        <w:rPr>
                          <w:u w:val="single"/>
                        </w:rPr>
                        <w:t xml:space="preserve"> </w:t>
                      </w:r>
                      <w:r>
                        <w:rPr>
                          <w:u w:val="single"/>
                        </w:rPr>
                        <w:tab/>
                      </w:r>
                    </w:p>
                    <w:p w:rsidR="00CE716E" w:rsidRDefault="00CE716E" w:rsidP="00CE716E">
                      <w:pPr>
                        <w:pStyle w:val="Corpodetexto"/>
                        <w:rPr>
                          <w:sz w:val="24"/>
                        </w:rPr>
                      </w:pPr>
                    </w:p>
                    <w:p w:rsidR="00CE716E" w:rsidRDefault="00CE716E" w:rsidP="00CE716E">
                      <w:pPr>
                        <w:pStyle w:val="Corpodetexto"/>
                        <w:rPr>
                          <w:sz w:val="24"/>
                        </w:rPr>
                      </w:pPr>
                    </w:p>
                    <w:p w:rsidR="00CE716E" w:rsidRDefault="00CE716E" w:rsidP="00CE716E">
                      <w:pPr>
                        <w:pStyle w:val="Corpodetexto"/>
                        <w:spacing w:before="194"/>
                        <w:ind w:left="979"/>
                      </w:pPr>
                      <w:proofErr w:type="gramStart"/>
                      <w:r>
                        <w:t>Assessor(</w:t>
                      </w:r>
                      <w:proofErr w:type="gramEnd"/>
                      <w:r>
                        <w:t>a)</w:t>
                      </w:r>
                      <w:r>
                        <w:rPr>
                          <w:spacing w:val="-6"/>
                        </w:rPr>
                        <w:t xml:space="preserve"> </w:t>
                      </w:r>
                      <w:r>
                        <w:t>Jurídico(a)</w:t>
                      </w:r>
                    </w:p>
                  </w:txbxContent>
                </v:textbox>
                <w10:wrap type="topAndBottom" anchorx="margin"/>
              </v:shape>
            </w:pict>
          </mc:Fallback>
        </mc:AlternateContent>
      </w:r>
      <w:r w:rsidR="00FD6A1B">
        <w:rPr>
          <w:sz w:val="24"/>
          <w:szCs w:val="24"/>
        </w:rPr>
        <w:t>Prefeito</w:t>
      </w:r>
      <w:r>
        <w:rPr>
          <w:sz w:val="24"/>
          <w:szCs w:val="24"/>
        </w:rPr>
        <w:t xml:space="preserve"> Municipal</w:t>
      </w:r>
      <w:r>
        <w:rPr>
          <w:noProof/>
          <w:lang w:eastAsia="pt-BR"/>
        </w:rPr>
        <mc:AlternateContent>
          <mc:Choice Requires="wps">
            <w:drawing>
              <wp:anchor distT="0" distB="0" distL="114300" distR="114300" simplePos="0" relativeHeight="251660288" behindDoc="0" locked="0" layoutInCell="1" allowOverlap="1">
                <wp:simplePos x="0" y="0"/>
                <wp:positionH relativeFrom="page">
                  <wp:posOffset>1592580</wp:posOffset>
                </wp:positionH>
                <wp:positionV relativeFrom="paragraph">
                  <wp:posOffset>1483360</wp:posOffset>
                </wp:positionV>
                <wp:extent cx="1551940" cy="0"/>
                <wp:effectExtent l="0" t="0" r="29210" b="19050"/>
                <wp:wrapNone/>
                <wp:docPr id="1" name="Conector reto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51940" cy="0"/>
                        </a:xfrm>
                        <a:prstGeom prst="line">
                          <a:avLst/>
                        </a:prstGeom>
                        <a:noFill/>
                        <a:ln w="8833">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B697770" id="Conector reto 1" o:spid="_x0000_s1026" style="position:absolute;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25.4pt,116.8pt" to="247.6pt,11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" strokeweight=".24536mm">
                <w10:wrap anchorx="page"/>
              </v:line>
            </w:pict>
          </mc:Fallback>
        </mc:AlternateContent>
      </w:r>
    </w:p>
    <w:p w:rsidR="00CE716E" w:rsidRDefault="00CE716E" w:rsidP="00CE716E"/>
    <w:p w:rsidR="00CE716E" w:rsidRDefault="00CE716E" w:rsidP="00CE716E"/>
    <w:p w:rsidR="00CE716E" w:rsidRDefault="00CE716E" w:rsidP="00CE716E"/>
    <w:p w:rsidR="00CE716E" w:rsidRDefault="00CE716E" w:rsidP="00CE716E">
      <w:pPr>
        <w:pStyle w:val="Corpodetexto"/>
        <w:rPr>
          <w:sz w:val="20"/>
        </w:rPr>
      </w:pPr>
      <w:r>
        <w:rPr>
          <w:sz w:val="20"/>
        </w:rPr>
        <w:t>ANEXO II</w:t>
      </w:r>
    </w:p>
    <w:p w:rsidR="00CE716E" w:rsidRDefault="00CE716E" w:rsidP="00CE716E">
      <w:pPr>
        <w:pStyle w:val="Corpodetexto"/>
        <w:rPr>
          <w:sz w:val="20"/>
        </w:rPr>
      </w:pPr>
    </w:p>
    <w:p w:rsidR="00CE716E" w:rsidRDefault="00CE716E" w:rsidP="00CE716E">
      <w:pPr>
        <w:pStyle w:val="Corpodetexto"/>
        <w:rPr>
          <w:b/>
          <w:sz w:val="20"/>
          <w:u w:val="single"/>
        </w:rPr>
      </w:pPr>
      <w:r>
        <w:rPr>
          <w:b/>
          <w:sz w:val="20"/>
          <w:u w:val="single"/>
        </w:rPr>
        <w:t>PROCESSO DE LICITAÇÃO Nº 013-2025 – PREGÃO ELETRÔNICO</w:t>
      </w:r>
    </w:p>
    <w:p w:rsidR="00CE716E" w:rsidRDefault="00CE716E" w:rsidP="00CE716E">
      <w:pPr>
        <w:pStyle w:val="Corpodetexto"/>
        <w:rPr>
          <w:sz w:val="20"/>
        </w:rPr>
      </w:pPr>
    </w:p>
    <w:p w:rsidR="00CE716E" w:rsidRDefault="00CE716E" w:rsidP="00CE716E">
      <w:pPr>
        <w:pStyle w:val="Corpodetexto"/>
        <w:rPr>
          <w:sz w:val="20"/>
        </w:rPr>
      </w:pPr>
      <w:r>
        <w:rPr>
          <w:sz w:val="20"/>
        </w:rPr>
        <w:t>MODELO</w:t>
      </w:r>
      <w:r w:rsidR="00FD6A1B">
        <w:rPr>
          <w:sz w:val="20"/>
        </w:rPr>
        <w:t xml:space="preserve"> DE PROPOSTA </w:t>
      </w:r>
      <w:proofErr w:type="gramStart"/>
      <w:r w:rsidR="00FD6A1B">
        <w:rPr>
          <w:sz w:val="20"/>
        </w:rPr>
        <w:t>FINANCEIRA :</w:t>
      </w:r>
      <w:proofErr w:type="gramEnd"/>
      <w:r w:rsidR="00FD6A1B">
        <w:rPr>
          <w:sz w:val="20"/>
        </w:rPr>
        <w:t xml:space="preserve"> ( RAZ</w:t>
      </w:r>
      <w:r>
        <w:rPr>
          <w:sz w:val="20"/>
        </w:rPr>
        <w:t>ÃO SOCIAL COMPLETA DA EMPRESA )</w:t>
      </w:r>
    </w:p>
    <w:p w:rsidR="00CE716E" w:rsidRDefault="00CE716E" w:rsidP="00CE716E">
      <w:pPr>
        <w:pStyle w:val="Corpodetexto"/>
        <w:rPr>
          <w:sz w:val="20"/>
        </w:rPr>
      </w:pPr>
    </w:p>
    <w:p w:rsidR="00CE716E" w:rsidRDefault="00CE716E" w:rsidP="00CE716E">
      <w:pPr>
        <w:tabs>
          <w:tab w:val="left" w:pos="693"/>
        </w:tabs>
        <w:spacing w:before="114" w:line="360" w:lineRule="auto"/>
        <w:ind w:right="225"/>
        <w:rPr>
          <w:b/>
          <w:u w:val="single"/>
        </w:rPr>
      </w:pPr>
      <w:r>
        <w:rPr>
          <w:b/>
          <w:u w:val="single"/>
        </w:rPr>
        <w:t xml:space="preserve">Validade da </w:t>
      </w:r>
      <w:proofErr w:type="gramStart"/>
      <w:r>
        <w:rPr>
          <w:b/>
          <w:u w:val="single"/>
        </w:rPr>
        <w:t>Proposta :</w:t>
      </w:r>
      <w:proofErr w:type="gramEnd"/>
      <w:r>
        <w:rPr>
          <w:b/>
          <w:u w:val="single"/>
        </w:rPr>
        <w:t xml:space="preserve"> 60 dias .</w:t>
      </w:r>
    </w:p>
    <w:p w:rsidR="00CE716E" w:rsidRDefault="00CE716E" w:rsidP="00CE716E">
      <w:pPr>
        <w:tabs>
          <w:tab w:val="left" w:pos="693"/>
        </w:tabs>
        <w:spacing w:before="114" w:line="360" w:lineRule="auto"/>
        <w:ind w:right="225"/>
        <w:rPr>
          <w:b/>
          <w:u w:val="single"/>
        </w:rPr>
      </w:pPr>
      <w:r>
        <w:rPr>
          <w:b/>
          <w:u w:val="single"/>
        </w:rPr>
        <w:t xml:space="preserve">Número de casas decimais após a </w:t>
      </w:r>
      <w:proofErr w:type="gramStart"/>
      <w:r>
        <w:rPr>
          <w:b/>
          <w:u w:val="single"/>
        </w:rPr>
        <w:t>vírgula :</w:t>
      </w:r>
      <w:proofErr w:type="gramEnd"/>
      <w:r>
        <w:rPr>
          <w:b/>
          <w:u w:val="single"/>
        </w:rPr>
        <w:t xml:space="preserve"> 02</w:t>
      </w:r>
    </w:p>
    <w:p w:rsidR="00CE716E" w:rsidRDefault="00CE716E" w:rsidP="00CE716E">
      <w:pPr>
        <w:pStyle w:val="Corpodetexto"/>
        <w:rPr>
          <w:sz w:val="20"/>
        </w:rPr>
      </w:pPr>
    </w:p>
    <w:p w:rsidR="00CE716E" w:rsidRDefault="00CE716E" w:rsidP="00CE716E">
      <w:pPr>
        <w:pStyle w:val="Corpodetexto"/>
        <w:jc w:val="both"/>
        <w:rPr>
          <w:rFonts w:cs="Arial"/>
          <w:b/>
          <w:sz w:val="24"/>
          <w:szCs w:val="24"/>
          <w:u w:val="single"/>
        </w:rPr>
      </w:pPr>
      <w:r>
        <w:rPr>
          <w:rFonts w:cs="Arial"/>
          <w:sz w:val="24"/>
          <w:szCs w:val="24"/>
        </w:rPr>
        <w:t>- Registro de preços para futuras aquisições de M</w:t>
      </w:r>
      <w:r w:rsidR="00FD6A1B">
        <w:rPr>
          <w:rFonts w:cs="Arial"/>
          <w:sz w:val="24"/>
          <w:szCs w:val="24"/>
        </w:rPr>
        <w:t>EDICAMENTOS INJETÁVEIS</w:t>
      </w:r>
      <w:r>
        <w:rPr>
          <w:rFonts w:cs="Arial"/>
          <w:sz w:val="24"/>
          <w:szCs w:val="24"/>
        </w:rPr>
        <w:t>.</w:t>
      </w:r>
    </w:p>
    <w:p w:rsidR="00CE716E" w:rsidRDefault="00CE716E" w:rsidP="00CE716E">
      <w:pPr>
        <w:pStyle w:val="Corpodetexto"/>
        <w:jc w:val="both"/>
        <w:rPr>
          <w:rFonts w:cs="Arial"/>
          <w:b/>
          <w:sz w:val="24"/>
          <w:szCs w:val="24"/>
          <w:u w:val="single"/>
        </w:rPr>
      </w:pPr>
      <w:r>
        <w:rPr>
          <w:rFonts w:cs="Arial"/>
          <w:b/>
          <w:sz w:val="24"/>
          <w:szCs w:val="24"/>
          <w:u w:val="single"/>
        </w:rPr>
        <w:lastRenderedPageBreak/>
        <w:t xml:space="preserve">Itens: </w:t>
      </w:r>
    </w:p>
    <w:p w:rsidR="00CE716E" w:rsidRDefault="00CE716E" w:rsidP="00CE716E">
      <w:pPr>
        <w:pStyle w:val="Corpodetexto"/>
        <w:jc w:val="both"/>
        <w:rPr>
          <w:rFonts w:cs="Arial"/>
          <w:b/>
          <w:sz w:val="24"/>
          <w:szCs w:val="24"/>
          <w:u w:val="single"/>
        </w:rPr>
      </w:pPr>
    </w:p>
    <w:tbl>
      <w:tblPr>
        <w:tblStyle w:val="Tabelacomgrade"/>
        <w:tblW w:w="8494" w:type="dxa"/>
        <w:tblInd w:w="0" w:type="dxa"/>
        <w:tblLook w:val="04A0" w:firstRow="1" w:lastRow="0" w:firstColumn="1" w:lastColumn="0" w:noHBand="0" w:noVBand="1"/>
      </w:tblPr>
      <w:tblGrid>
        <w:gridCol w:w="977"/>
        <w:gridCol w:w="1265"/>
        <w:gridCol w:w="2927"/>
        <w:gridCol w:w="1668"/>
        <w:gridCol w:w="1657"/>
      </w:tblGrid>
      <w:tr w:rsidR="00CE716E" w:rsidTr="00CE716E">
        <w:tc>
          <w:tcPr>
            <w:tcW w:w="977" w:type="dxa"/>
            <w:tcBorders>
              <w:top w:val="single" w:sz="4" w:space="0" w:color="auto"/>
              <w:left w:val="single" w:sz="4" w:space="0" w:color="auto"/>
              <w:bottom w:val="single" w:sz="4" w:space="0" w:color="auto"/>
              <w:right w:val="single" w:sz="4" w:space="0" w:color="auto"/>
            </w:tcBorders>
            <w:hideMark/>
          </w:tcPr>
          <w:p w:rsidR="00CE716E" w:rsidRDefault="00CE716E">
            <w:pPr>
              <w:spacing w:line="360" w:lineRule="auto"/>
            </w:pPr>
            <w:r>
              <w:t>Item (</w:t>
            </w:r>
            <w:proofErr w:type="spellStart"/>
            <w:r>
              <w:t>ns</w:t>
            </w:r>
            <w:proofErr w:type="spellEnd"/>
            <w:r>
              <w:t>)</w:t>
            </w:r>
          </w:p>
        </w:tc>
        <w:tc>
          <w:tcPr>
            <w:tcW w:w="1265" w:type="dxa"/>
            <w:tcBorders>
              <w:top w:val="single" w:sz="4" w:space="0" w:color="auto"/>
              <w:left w:val="single" w:sz="4" w:space="0" w:color="auto"/>
              <w:bottom w:val="single" w:sz="4" w:space="0" w:color="auto"/>
              <w:right w:val="single" w:sz="4" w:space="0" w:color="auto"/>
            </w:tcBorders>
            <w:hideMark/>
          </w:tcPr>
          <w:p w:rsidR="00CE716E" w:rsidRDefault="00CE716E">
            <w:pPr>
              <w:spacing w:line="360" w:lineRule="auto"/>
            </w:pPr>
            <w:proofErr w:type="spellStart"/>
            <w:r>
              <w:t>Qtd</w:t>
            </w:r>
            <w:proofErr w:type="spellEnd"/>
            <w:r>
              <w:t xml:space="preserve"> </w:t>
            </w:r>
            <w:proofErr w:type="spellStart"/>
            <w:r>
              <w:t>Máxina</w:t>
            </w:r>
            <w:proofErr w:type="spellEnd"/>
          </w:p>
        </w:tc>
        <w:tc>
          <w:tcPr>
            <w:tcW w:w="2927" w:type="dxa"/>
            <w:tcBorders>
              <w:top w:val="single" w:sz="4" w:space="0" w:color="auto"/>
              <w:left w:val="single" w:sz="4" w:space="0" w:color="auto"/>
              <w:bottom w:val="single" w:sz="4" w:space="0" w:color="auto"/>
              <w:right w:val="single" w:sz="4" w:space="0" w:color="auto"/>
            </w:tcBorders>
            <w:hideMark/>
          </w:tcPr>
          <w:p w:rsidR="00CE716E" w:rsidRDefault="00CE716E">
            <w:pPr>
              <w:spacing w:line="360" w:lineRule="auto"/>
            </w:pPr>
            <w:r>
              <w:t>Objeto</w:t>
            </w:r>
          </w:p>
        </w:tc>
        <w:tc>
          <w:tcPr>
            <w:tcW w:w="1668" w:type="dxa"/>
            <w:tcBorders>
              <w:top w:val="single" w:sz="4" w:space="0" w:color="auto"/>
              <w:left w:val="single" w:sz="4" w:space="0" w:color="auto"/>
              <w:bottom w:val="single" w:sz="4" w:space="0" w:color="auto"/>
              <w:right w:val="single" w:sz="4" w:space="0" w:color="auto"/>
            </w:tcBorders>
            <w:hideMark/>
          </w:tcPr>
          <w:p w:rsidR="00CE716E" w:rsidRDefault="00CE716E">
            <w:pPr>
              <w:spacing w:line="360" w:lineRule="auto"/>
            </w:pPr>
            <w:r>
              <w:t>V. Unit</w:t>
            </w:r>
          </w:p>
        </w:tc>
        <w:tc>
          <w:tcPr>
            <w:tcW w:w="1657" w:type="dxa"/>
            <w:tcBorders>
              <w:top w:val="single" w:sz="4" w:space="0" w:color="auto"/>
              <w:left w:val="single" w:sz="4" w:space="0" w:color="auto"/>
              <w:bottom w:val="single" w:sz="4" w:space="0" w:color="auto"/>
              <w:right w:val="single" w:sz="4" w:space="0" w:color="auto"/>
            </w:tcBorders>
            <w:hideMark/>
          </w:tcPr>
          <w:p w:rsidR="00CE716E" w:rsidRDefault="00CE716E">
            <w:pPr>
              <w:spacing w:line="360" w:lineRule="auto"/>
            </w:pPr>
            <w:r>
              <w:t>V. Total</w:t>
            </w:r>
          </w:p>
        </w:tc>
      </w:tr>
      <w:tr w:rsidR="00CE716E" w:rsidTr="00CE716E">
        <w:tc>
          <w:tcPr>
            <w:tcW w:w="977" w:type="dxa"/>
            <w:tcBorders>
              <w:top w:val="single" w:sz="4" w:space="0" w:color="auto"/>
              <w:left w:val="single" w:sz="4" w:space="0" w:color="auto"/>
              <w:bottom w:val="single" w:sz="4" w:space="0" w:color="auto"/>
              <w:right w:val="single" w:sz="4" w:space="0" w:color="auto"/>
            </w:tcBorders>
          </w:tcPr>
          <w:p w:rsidR="00CE716E" w:rsidRDefault="00CE716E">
            <w:pPr>
              <w:spacing w:line="360" w:lineRule="auto"/>
            </w:pPr>
          </w:p>
        </w:tc>
        <w:tc>
          <w:tcPr>
            <w:tcW w:w="1265" w:type="dxa"/>
            <w:tcBorders>
              <w:top w:val="single" w:sz="4" w:space="0" w:color="auto"/>
              <w:left w:val="single" w:sz="4" w:space="0" w:color="auto"/>
              <w:bottom w:val="single" w:sz="4" w:space="0" w:color="auto"/>
              <w:right w:val="single" w:sz="4" w:space="0" w:color="auto"/>
            </w:tcBorders>
          </w:tcPr>
          <w:p w:rsidR="00CE716E" w:rsidRDefault="00CE716E">
            <w:pPr>
              <w:spacing w:line="360" w:lineRule="auto"/>
            </w:pPr>
          </w:p>
        </w:tc>
        <w:tc>
          <w:tcPr>
            <w:tcW w:w="2927" w:type="dxa"/>
            <w:tcBorders>
              <w:top w:val="single" w:sz="4" w:space="0" w:color="auto"/>
              <w:left w:val="single" w:sz="4" w:space="0" w:color="auto"/>
              <w:bottom w:val="single" w:sz="4" w:space="0" w:color="auto"/>
              <w:right w:val="single" w:sz="4" w:space="0" w:color="auto"/>
            </w:tcBorders>
          </w:tcPr>
          <w:p w:rsidR="00CE716E" w:rsidRDefault="00CE716E">
            <w:pPr>
              <w:spacing w:line="360" w:lineRule="auto"/>
              <w:jc w:val="both"/>
            </w:pPr>
          </w:p>
        </w:tc>
        <w:tc>
          <w:tcPr>
            <w:tcW w:w="1668" w:type="dxa"/>
            <w:tcBorders>
              <w:top w:val="single" w:sz="4" w:space="0" w:color="auto"/>
              <w:left w:val="single" w:sz="4" w:space="0" w:color="auto"/>
              <w:bottom w:val="single" w:sz="4" w:space="0" w:color="auto"/>
              <w:right w:val="single" w:sz="4" w:space="0" w:color="auto"/>
            </w:tcBorders>
          </w:tcPr>
          <w:p w:rsidR="00CE716E" w:rsidRDefault="00CE716E">
            <w:pPr>
              <w:spacing w:line="360" w:lineRule="auto"/>
            </w:pPr>
          </w:p>
        </w:tc>
        <w:tc>
          <w:tcPr>
            <w:tcW w:w="1657" w:type="dxa"/>
            <w:tcBorders>
              <w:top w:val="single" w:sz="4" w:space="0" w:color="auto"/>
              <w:left w:val="single" w:sz="4" w:space="0" w:color="auto"/>
              <w:bottom w:val="single" w:sz="4" w:space="0" w:color="auto"/>
              <w:right w:val="single" w:sz="4" w:space="0" w:color="auto"/>
            </w:tcBorders>
          </w:tcPr>
          <w:p w:rsidR="00CE716E" w:rsidRDefault="00CE716E">
            <w:pPr>
              <w:spacing w:line="360" w:lineRule="auto"/>
            </w:pPr>
          </w:p>
        </w:tc>
      </w:tr>
    </w:tbl>
    <w:p w:rsidR="00CE716E" w:rsidRDefault="00CE716E" w:rsidP="00CE716E">
      <w:pPr>
        <w:pStyle w:val="Corpodetexto"/>
        <w:rPr>
          <w:sz w:val="20"/>
        </w:rPr>
      </w:pPr>
    </w:p>
    <w:p w:rsidR="00CE716E" w:rsidRDefault="00CE716E" w:rsidP="00CE716E">
      <w:pPr>
        <w:pStyle w:val="Corpodetexto"/>
        <w:rPr>
          <w:sz w:val="20"/>
        </w:rPr>
      </w:pPr>
      <w:r>
        <w:rPr>
          <w:sz w:val="20"/>
        </w:rPr>
        <w:t>DECLARAMOS QUE CUMPRIMOS COM TODOS OS REQUISITOS DE EDITAL E TERMO DE REFERÊNCIA.</w:t>
      </w:r>
    </w:p>
    <w:p w:rsidR="00CE716E" w:rsidRDefault="00CE716E" w:rsidP="00CE716E">
      <w:pPr>
        <w:pStyle w:val="Corpodetexto"/>
        <w:jc w:val="center"/>
      </w:pPr>
      <w:r>
        <w:t>Santo Antônio das Missões-</w:t>
      </w:r>
      <w:proofErr w:type="gramStart"/>
      <w:r>
        <w:t>RS, ....</w:t>
      </w:r>
      <w:proofErr w:type="gramEnd"/>
      <w:r>
        <w:t xml:space="preserve">. </w:t>
      </w:r>
      <w:proofErr w:type="gramStart"/>
      <w:r>
        <w:t>de</w:t>
      </w:r>
      <w:proofErr w:type="gramEnd"/>
      <w:r>
        <w:t xml:space="preserve"> .................. de 2025.</w:t>
      </w:r>
    </w:p>
    <w:p w:rsidR="00CE716E" w:rsidRDefault="00CE716E" w:rsidP="00CE716E">
      <w:pPr>
        <w:pStyle w:val="Corpodetexto"/>
        <w:jc w:val="center"/>
      </w:pPr>
      <w:r>
        <w:t>_________________________________</w:t>
      </w:r>
    </w:p>
    <w:p w:rsidR="00CE716E" w:rsidRDefault="00CE716E" w:rsidP="00CE716E">
      <w:pPr>
        <w:pStyle w:val="Corpodetexto"/>
        <w:jc w:val="center"/>
      </w:pPr>
    </w:p>
    <w:p w:rsidR="00CE716E" w:rsidRDefault="00CE716E" w:rsidP="00CE716E">
      <w:pPr>
        <w:pStyle w:val="Corpodetexto"/>
        <w:rPr>
          <w:sz w:val="20"/>
        </w:rPr>
      </w:pPr>
      <w:r>
        <w:rPr>
          <w:sz w:val="20"/>
        </w:rPr>
        <w:t xml:space="preserve">                                                           Assinatura e carimbo da empresa</w:t>
      </w:r>
    </w:p>
    <w:p w:rsidR="00CE716E" w:rsidRDefault="00CE716E" w:rsidP="00CE716E">
      <w:pPr>
        <w:pStyle w:val="Corpodetexto"/>
        <w:jc w:val="center"/>
        <w:rPr>
          <w:sz w:val="20"/>
        </w:rPr>
      </w:pPr>
      <w:r>
        <w:rPr>
          <w:sz w:val="20"/>
        </w:rPr>
        <w:t>CNPJ -</w:t>
      </w:r>
    </w:p>
    <w:p w:rsidR="00177889" w:rsidRDefault="00177889"/>
    <w:sectPr w:rsidR="00177889" w:rsidSect="00CE716E">
      <w:headerReference w:type="default" r:id="rId11"/>
      <w:pgSz w:w="11906" w:h="16838"/>
      <w:pgMar w:top="3119"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F3E25" w:rsidRDefault="003F3E25" w:rsidP="00CE716E">
      <w:r>
        <w:separator/>
      </w:r>
    </w:p>
  </w:endnote>
  <w:endnote w:type="continuationSeparator" w:id="0">
    <w:p w:rsidR="003F3E25" w:rsidRDefault="003F3E25" w:rsidP="00CE71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Yu Gothic UI"/>
    <w:panose1 w:val="02020609040205080304"/>
    <w:charset w:val="80"/>
    <w:family w:val="roman"/>
    <w:pitch w:val="fixed"/>
    <w:sig w:usb0="00000001" w:usb1="08070000" w:usb2="00000010" w:usb3="00000000" w:csb0="0002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F3E25" w:rsidRDefault="003F3E25" w:rsidP="00CE716E">
      <w:r>
        <w:separator/>
      </w:r>
    </w:p>
  </w:footnote>
  <w:footnote w:type="continuationSeparator" w:id="0">
    <w:p w:rsidR="003F3E25" w:rsidRDefault="003F3E25" w:rsidP="00CE716E">
      <w:r>
        <w:continuationSeparator/>
      </w:r>
    </w:p>
  </w:footnote>
  <w:footnote w:id="1">
    <w:p w:rsidR="00CE716E" w:rsidRDefault="00CE716E" w:rsidP="00CE716E">
      <w:pPr>
        <w:pStyle w:val="Textodenotaderodap"/>
        <w:rPr>
          <w:rFonts w:ascii="Arial" w:hAnsi="Arial" w:cs="Arial"/>
          <w:lang w:val="en-US"/>
        </w:rPr>
      </w:pPr>
    </w:p>
  </w:footnote>
  <w:footnote w:id="2">
    <w:p w:rsidR="00CE716E" w:rsidRDefault="00CE716E" w:rsidP="00CE716E">
      <w:pPr>
        <w:pStyle w:val="Textodenotaderodap"/>
        <w:rPr>
          <w:rFonts w:ascii="Arial" w:hAnsi="Arial" w:cs="Arial"/>
          <w:color w:val="FF0000"/>
          <w:lang w:val="en-US"/>
        </w:rPr>
      </w:pPr>
    </w:p>
  </w:footnote>
  <w:footnote w:id="3">
    <w:p w:rsidR="00CE716E" w:rsidRDefault="00CE716E" w:rsidP="00CE716E">
      <w:pPr>
        <w:pStyle w:val="Textodenotaderodap"/>
        <w:rPr>
          <w:rFonts w:ascii="Arial" w:hAnsi="Arial" w:cs="Arial"/>
        </w:rPr>
      </w:pPr>
    </w:p>
    <w:p w:rsidR="00CE716E" w:rsidRDefault="00CE716E" w:rsidP="00CE716E">
      <w:pPr>
        <w:pStyle w:val="Textodenotaderodap"/>
        <w:rPr>
          <w:sz w:val="16"/>
          <w:szCs w:val="16"/>
        </w:rPr>
      </w:pPr>
    </w:p>
  </w:footnote>
  <w:footnote w:id="4">
    <w:p w:rsidR="00CE716E" w:rsidRDefault="00CE716E" w:rsidP="00CE716E">
      <w:pPr>
        <w:pStyle w:val="Textodenotaderodap"/>
        <w:rPr>
          <w:rFonts w:ascii="Arial" w:hAnsi="Arial" w:cs="Arial"/>
          <w:lang w:val="en-US"/>
        </w:rPr>
      </w:pPr>
    </w:p>
  </w:footnote>
  <w:footnote w:id="5">
    <w:p w:rsidR="00CE716E" w:rsidRDefault="00CE716E" w:rsidP="00CE716E">
      <w:pPr>
        <w:pStyle w:val="Textodenotaderodap"/>
        <w:rPr>
          <w:rFonts w:ascii="Arial" w:hAnsi="Arial" w:cs="Arial"/>
          <w:color w:val="FF0000"/>
          <w:lang w:val="en-US"/>
        </w:rPr>
      </w:pPr>
    </w:p>
  </w:footnote>
  <w:footnote w:id="6">
    <w:p w:rsidR="00CE716E" w:rsidRDefault="00CE716E" w:rsidP="00CE716E">
      <w:pPr>
        <w:pStyle w:val="Textodenotaderodap"/>
        <w:rPr>
          <w:rFonts w:ascii="Arial" w:hAnsi="Arial" w:cs="Arial"/>
        </w:rPr>
      </w:pPr>
    </w:p>
  </w:footnote>
  <w:footnote w:id="7">
    <w:p w:rsidR="00CE716E" w:rsidRDefault="00CE716E" w:rsidP="00CE716E">
      <w:pPr>
        <w:pStyle w:val="NormalWeb"/>
        <w:spacing w:before="0" w:beforeAutospacing="0" w:after="0" w:afterAutospacing="0"/>
        <w:jc w:val="both"/>
        <w:rPr>
          <w:rFonts w:ascii="Arial" w:hAnsi="Arial" w:cs="Arial"/>
          <w:sz w:val="20"/>
          <w:szCs w:val="20"/>
        </w:rPr>
      </w:pPr>
      <w:bookmarkStart w:id="71" w:name="art156§1i"/>
      <w:bookmarkStart w:id="72" w:name="art156§1ii"/>
      <w:bookmarkStart w:id="73" w:name="art156§1iii"/>
      <w:bookmarkStart w:id="74" w:name="art156§1iv"/>
      <w:bookmarkStart w:id="75" w:name="art156§1v"/>
      <w:bookmarkStart w:id="76" w:name="art161p"/>
      <w:bookmarkEnd w:id="71"/>
      <w:bookmarkEnd w:id="72"/>
      <w:bookmarkEnd w:id="73"/>
      <w:bookmarkEnd w:id="74"/>
      <w:bookmarkEnd w:id="75"/>
      <w:bookmarkEnd w:id="76"/>
    </w:p>
    <w:p w:rsidR="00CE716E" w:rsidRDefault="00CE716E" w:rsidP="00CE716E">
      <w:pPr>
        <w:pStyle w:val="Textodenotaderodap"/>
        <w:jc w:val="both"/>
        <w:rPr>
          <w:rFonts w:ascii="Arial" w:hAnsi="Arial" w:cs="Arial"/>
          <w:sz w:val="24"/>
          <w:szCs w:val="24"/>
        </w:rPr>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73893" w:rsidRDefault="00B73893" w:rsidP="00B73893">
    <w:pPr>
      <w:pStyle w:val="Cabealho"/>
      <w:tabs>
        <w:tab w:val="center" w:pos="540"/>
      </w:tabs>
    </w:pPr>
    <w:r>
      <w:rPr>
        <w:noProof/>
        <w:lang w:eastAsia="pt-BR"/>
      </w:rPr>
      <mc:AlternateContent>
        <mc:Choice Requires="wps">
          <w:drawing>
            <wp:anchor distT="0" distB="0" distL="114300" distR="114300" simplePos="0" relativeHeight="251659264" behindDoc="0" locked="0" layoutInCell="1" allowOverlap="1" wp14:anchorId="0E6A5DAB" wp14:editId="219828F6">
              <wp:simplePos x="0" y="0"/>
              <wp:positionH relativeFrom="column">
                <wp:posOffset>914400</wp:posOffset>
              </wp:positionH>
              <wp:positionV relativeFrom="paragraph">
                <wp:posOffset>7620</wp:posOffset>
              </wp:positionV>
              <wp:extent cx="4457700" cy="1028700"/>
              <wp:effectExtent l="0" t="0" r="0" b="0"/>
              <wp:wrapNone/>
              <wp:docPr id="3" name="Caixa de Texto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57700" cy="10287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73893" w:rsidRDefault="00B73893" w:rsidP="00B73893">
                          <w:pPr>
                            <w:jc w:val="center"/>
                          </w:pPr>
                        </w:p>
                        <w:p w:rsidR="00B73893" w:rsidRDefault="00B73893" w:rsidP="00B73893">
                          <w:pPr>
                            <w:jc w:val="center"/>
                            <w:rPr>
                              <w:rFonts w:cs="Arial"/>
                              <w:b/>
                              <w:sz w:val="28"/>
                              <w:szCs w:val="28"/>
                            </w:rPr>
                          </w:pPr>
                          <w:r>
                            <w:rPr>
                              <w:rFonts w:cs="Arial"/>
                              <w:b/>
                              <w:sz w:val="28"/>
                              <w:szCs w:val="28"/>
                            </w:rPr>
                            <w:t>PREFEITURA MUNICIPAL DE SANTO ANTÔNIO DAS MISSÕES</w:t>
                          </w:r>
                        </w:p>
                        <w:p w:rsidR="00B73893" w:rsidRDefault="00B73893" w:rsidP="00B73893">
                          <w:pPr>
                            <w:jc w:val="center"/>
                          </w:pPr>
                          <w:r>
                            <w:rPr>
                              <w:rFonts w:cs="Arial"/>
                              <w:b/>
                              <w:sz w:val="28"/>
                              <w:szCs w:val="28"/>
                            </w:rPr>
                            <w:t>ESTADO DO RIO GRANDE DO SUL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E6A5DAB" id="_x0000_t202" coordsize="21600,21600" o:spt="202" path="m,l,21600r21600,l21600,xe">
              <v:stroke joinstyle="miter"/>
              <v:path gradientshapeok="t" o:connecttype="rect"/>
            </v:shapetype>
            <v:shape id="Caixa de Texto 3" o:spid="_x0000_s1027" type="#_x0000_t202" style="position:absolute;margin-left:1in;margin-top:.6pt;width:351pt;height:8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" stroked="f">
              <v:textbox>
                <w:txbxContent>
                  <w:p w:rsidR="00B73893" w:rsidRDefault="00B73893" w:rsidP="00B73893">
                    <w:pPr>
                      <w:jc w:val="center"/>
                    </w:pPr>
                  </w:p>
                  <w:p w:rsidR="00B73893" w:rsidRDefault="00B73893" w:rsidP="00B73893">
                    <w:pPr>
                      <w:jc w:val="center"/>
                      <w:rPr>
                        <w:rFonts w:cs="Arial"/>
                        <w:b/>
                        <w:sz w:val="28"/>
                        <w:szCs w:val="28"/>
                      </w:rPr>
                    </w:pPr>
                    <w:r>
                      <w:rPr>
                        <w:rFonts w:cs="Arial"/>
                        <w:b/>
                        <w:sz w:val="28"/>
                        <w:szCs w:val="28"/>
                      </w:rPr>
                      <w:t>PREFEITURA MUNICIPAL DE SANTO ANTÔNIO DAS MISSÕES</w:t>
                    </w:r>
                  </w:p>
                  <w:p w:rsidR="00B73893" w:rsidRDefault="00B73893" w:rsidP="00B73893">
                    <w:pPr>
                      <w:jc w:val="center"/>
                    </w:pPr>
                    <w:r>
                      <w:rPr>
                        <w:rFonts w:cs="Arial"/>
                        <w:b/>
                        <w:sz w:val="28"/>
                        <w:szCs w:val="28"/>
                      </w:rPr>
                      <w:t>ESTADO DO RIO GRANDE DO SUL</w:t>
                    </w:r>
                  </w:p>
                </w:txbxContent>
              </v:textbox>
            </v:shape>
          </w:pict>
        </mc:Fallback>
      </mc:AlternateContent>
    </w:r>
    <w:r>
      <w:tab/>
    </w:r>
    <w:r>
      <w:object w:dxaOrig="3495" w:dyaOrig="385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0.25pt;height:99.75pt">
          <v:imagedata r:id="rId1" o:title=""/>
        </v:shape>
        <o:OLEObject Type="Embed" ProgID="PBrush" ShapeID="_x0000_i1025" DrawAspect="Content" ObjectID="_1801034447" r:id="rId2"/>
      </w:object>
    </w:r>
  </w:p>
  <w:p w:rsidR="00B73893" w:rsidRDefault="00B73893">
    <w:pPr>
      <w:pStyle w:val="Cabealho"/>
    </w:pPr>
  </w:p>
  <w:p w:rsidR="00B73893" w:rsidRDefault="00B73893">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D5C100D"/>
    <w:multiLevelType w:val="multilevel"/>
    <w:tmpl w:val="DF6CF00A"/>
    <w:lvl w:ilvl="0">
      <w:start w:val="1"/>
      <w:numFmt w:val="decimal"/>
      <w:pStyle w:val="Nivel01"/>
      <w:lvlText w:val="%1."/>
      <w:lvlJc w:val="left"/>
      <w:pPr>
        <w:ind w:left="360" w:hanging="360"/>
      </w:pPr>
      <w:rPr>
        <w:b/>
      </w:rPr>
    </w:lvl>
    <w:lvl w:ilvl="1">
      <w:start w:val="1"/>
      <w:numFmt w:val="decimal"/>
      <w:pStyle w:val="Nivel2"/>
      <w:lvlText w:val="%1.%2."/>
      <w:lvlJc w:val="left"/>
      <w:pPr>
        <w:ind w:left="4969" w:hanging="432"/>
      </w:pPr>
      <w:rPr>
        <w:b w:val="0"/>
        <w:i w:val="0"/>
        <w:strike w:val="0"/>
        <w:dstrike w:val="0"/>
        <w:color w:val="auto"/>
        <w:sz w:val="20"/>
        <w:szCs w:val="20"/>
        <w:u w:val="none"/>
        <w:effect w:val="none"/>
      </w:rPr>
    </w:lvl>
    <w:lvl w:ilvl="2">
      <w:start w:val="1"/>
      <w:numFmt w:val="lowerLetter"/>
      <w:pStyle w:val="Nivel3"/>
      <w:lvlText w:val="%3)"/>
      <w:lvlJc w:val="left"/>
      <w:pPr>
        <w:ind w:left="3198" w:hanging="504"/>
      </w:pPr>
      <w:rPr>
        <w:rFonts w:ascii="Arial" w:eastAsia="MS Mincho" w:hAnsi="Arial" w:cs="Arial"/>
        <w:b w:val="0"/>
        <w:i w:val="0"/>
        <w:strike w:val="0"/>
        <w:dstrike w:val="0"/>
        <w:color w:val="auto"/>
        <w:sz w:val="20"/>
        <w:szCs w:val="20"/>
        <w:u w:val="none"/>
        <w:effect w:val="none"/>
      </w:rPr>
    </w:lvl>
    <w:lvl w:ilvl="3">
      <w:start w:val="1"/>
      <w:numFmt w:val="decimal"/>
      <w:pStyle w:val="Nivel4"/>
      <w:lvlText w:val="%1.%2.%3.%4."/>
      <w:lvlJc w:val="left"/>
      <w:pPr>
        <w:ind w:left="2491" w:hanging="648"/>
      </w:pPr>
    </w:lvl>
    <w:lvl w:ilvl="4">
      <w:start w:val="1"/>
      <w:numFmt w:val="decimal"/>
      <w:pStyle w:val="Nivel5"/>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716E"/>
    <w:rsid w:val="00177889"/>
    <w:rsid w:val="00220CB8"/>
    <w:rsid w:val="003F3E25"/>
    <w:rsid w:val="0044297A"/>
    <w:rsid w:val="00552EC8"/>
    <w:rsid w:val="008061A6"/>
    <w:rsid w:val="009012F3"/>
    <w:rsid w:val="00AB0F24"/>
    <w:rsid w:val="00B73893"/>
    <w:rsid w:val="00CE716E"/>
    <w:rsid w:val="00F07461"/>
    <w:rsid w:val="00FD6A1B"/>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F4466A"/>
  <w15:chartTrackingRefBased/>
  <w15:docId w15:val="{C3DCE4B0-9A33-4EC0-9C29-31BE79B5F2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E716E"/>
    <w:pPr>
      <w:spacing w:after="0" w:line="240" w:lineRule="auto"/>
    </w:pPr>
    <w:rPr>
      <w:rFonts w:ascii="Arial" w:eastAsia="Times New Roman" w:hAnsi="Arial" w:cs="Times New Roman"/>
      <w:szCs w:val="20"/>
    </w:rPr>
  </w:style>
  <w:style w:type="paragraph" w:styleId="Ttulo1">
    <w:name w:val="heading 1"/>
    <w:basedOn w:val="Normal"/>
    <w:next w:val="Normal"/>
    <w:link w:val="Ttulo1Char"/>
    <w:uiPriority w:val="9"/>
    <w:qFormat/>
    <w:rsid w:val="00CE716E"/>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uiPriority w:val="99"/>
    <w:semiHidden/>
    <w:unhideWhenUsed/>
    <w:rsid w:val="00CE716E"/>
    <w:rPr>
      <w:color w:val="0000FF"/>
      <w:u w:val="single"/>
    </w:rPr>
  </w:style>
  <w:style w:type="paragraph" w:styleId="NormalWeb">
    <w:name w:val="Normal (Web)"/>
    <w:basedOn w:val="Normal"/>
    <w:uiPriority w:val="99"/>
    <w:semiHidden/>
    <w:unhideWhenUsed/>
    <w:rsid w:val="00CE716E"/>
    <w:pPr>
      <w:spacing w:before="100" w:beforeAutospacing="1" w:after="100" w:afterAutospacing="1"/>
    </w:pPr>
    <w:rPr>
      <w:rFonts w:ascii="Times New Roman" w:hAnsi="Times New Roman"/>
      <w:sz w:val="24"/>
      <w:szCs w:val="24"/>
      <w:lang w:eastAsia="pt-BR"/>
    </w:rPr>
  </w:style>
  <w:style w:type="paragraph" w:styleId="Textodenotaderodap">
    <w:name w:val="footnote text"/>
    <w:basedOn w:val="Normal"/>
    <w:link w:val="TextodenotaderodapChar"/>
    <w:uiPriority w:val="99"/>
    <w:semiHidden/>
    <w:unhideWhenUsed/>
    <w:rsid w:val="00CE716E"/>
    <w:rPr>
      <w:rFonts w:ascii="Times New Roman" w:hAnsi="Times New Roman"/>
      <w:sz w:val="20"/>
    </w:rPr>
  </w:style>
  <w:style w:type="character" w:customStyle="1" w:styleId="TextodenotaderodapChar">
    <w:name w:val="Texto de nota de rodapé Char"/>
    <w:basedOn w:val="Fontepargpadro"/>
    <w:link w:val="Textodenotaderodap"/>
    <w:uiPriority w:val="99"/>
    <w:semiHidden/>
    <w:rsid w:val="00CE716E"/>
    <w:rPr>
      <w:rFonts w:ascii="Times New Roman" w:eastAsia="Times New Roman" w:hAnsi="Times New Roman" w:cs="Times New Roman"/>
      <w:sz w:val="20"/>
      <w:szCs w:val="20"/>
    </w:rPr>
  </w:style>
  <w:style w:type="paragraph" w:styleId="Corpodetexto">
    <w:name w:val="Body Text"/>
    <w:basedOn w:val="Normal"/>
    <w:link w:val="CorpodetextoChar"/>
    <w:uiPriority w:val="99"/>
    <w:semiHidden/>
    <w:unhideWhenUsed/>
    <w:rsid w:val="00CE716E"/>
    <w:pPr>
      <w:spacing w:after="120"/>
    </w:pPr>
  </w:style>
  <w:style w:type="character" w:customStyle="1" w:styleId="CorpodetextoChar">
    <w:name w:val="Corpo de texto Char"/>
    <w:basedOn w:val="Fontepargpadro"/>
    <w:link w:val="Corpodetexto"/>
    <w:uiPriority w:val="99"/>
    <w:semiHidden/>
    <w:rsid w:val="00CE716E"/>
    <w:rPr>
      <w:rFonts w:ascii="Arial" w:eastAsia="Times New Roman" w:hAnsi="Arial" w:cs="Times New Roman"/>
      <w:szCs w:val="20"/>
    </w:rPr>
  </w:style>
  <w:style w:type="paragraph" w:styleId="Recuodecorpodetexto">
    <w:name w:val="Body Text Indent"/>
    <w:basedOn w:val="Normal"/>
    <w:link w:val="RecuodecorpodetextoChar"/>
    <w:uiPriority w:val="99"/>
    <w:semiHidden/>
    <w:unhideWhenUsed/>
    <w:rsid w:val="00CE716E"/>
    <w:pPr>
      <w:spacing w:before="120" w:line="360" w:lineRule="auto"/>
      <w:ind w:firstLine="1134"/>
      <w:jc w:val="both"/>
    </w:pPr>
  </w:style>
  <w:style w:type="character" w:customStyle="1" w:styleId="RecuodecorpodetextoChar">
    <w:name w:val="Recuo de corpo de texto Char"/>
    <w:basedOn w:val="Fontepargpadro"/>
    <w:link w:val="Recuodecorpodetexto"/>
    <w:uiPriority w:val="99"/>
    <w:semiHidden/>
    <w:rsid w:val="00CE716E"/>
    <w:rPr>
      <w:rFonts w:ascii="Arial" w:eastAsia="Times New Roman" w:hAnsi="Arial" w:cs="Times New Roman"/>
      <w:szCs w:val="20"/>
    </w:rPr>
  </w:style>
  <w:style w:type="paragraph" w:customStyle="1" w:styleId="Textoembloco1">
    <w:name w:val="Texto em bloco1"/>
    <w:basedOn w:val="Normal"/>
    <w:uiPriority w:val="99"/>
    <w:semiHidden/>
    <w:rsid w:val="00CE716E"/>
    <w:pPr>
      <w:ind w:left="4253" w:right="57" w:firstLine="1134"/>
      <w:jc w:val="both"/>
    </w:pPr>
    <w:rPr>
      <w:i/>
      <w:spacing w:val="14"/>
    </w:rPr>
  </w:style>
  <w:style w:type="paragraph" w:customStyle="1" w:styleId="Default">
    <w:name w:val="Default"/>
    <w:uiPriority w:val="99"/>
    <w:semiHidden/>
    <w:rsid w:val="00CE716E"/>
    <w:pPr>
      <w:autoSpaceDE w:val="0"/>
      <w:autoSpaceDN w:val="0"/>
      <w:adjustRightInd w:val="0"/>
      <w:spacing w:after="0" w:line="240" w:lineRule="auto"/>
    </w:pPr>
    <w:rPr>
      <w:rFonts w:ascii="Arial" w:eastAsia="Calibri" w:hAnsi="Arial" w:cs="Arial"/>
      <w:color w:val="000000"/>
      <w:sz w:val="24"/>
      <w:szCs w:val="24"/>
    </w:rPr>
  </w:style>
  <w:style w:type="paragraph" w:customStyle="1" w:styleId="Nivel01">
    <w:name w:val="Nivel 01"/>
    <w:basedOn w:val="Ttulo1"/>
    <w:next w:val="Normal"/>
    <w:uiPriority w:val="99"/>
    <w:semiHidden/>
    <w:qFormat/>
    <w:rsid w:val="00CE716E"/>
    <w:pPr>
      <w:numPr>
        <w:numId w:val="1"/>
      </w:numPr>
      <w:tabs>
        <w:tab w:val="num" w:pos="0"/>
        <w:tab w:val="num" w:pos="360"/>
        <w:tab w:val="left" w:pos="567"/>
      </w:tabs>
      <w:ind w:left="432" w:hanging="432"/>
      <w:jc w:val="both"/>
    </w:pPr>
    <w:rPr>
      <w:rFonts w:ascii="Arial" w:eastAsia="Times New Roman" w:hAnsi="Arial" w:cs="Arial"/>
      <w:b/>
      <w:bCs/>
      <w:color w:val="auto"/>
      <w:sz w:val="20"/>
      <w:szCs w:val="20"/>
      <w:lang w:eastAsia="pt-BR"/>
    </w:rPr>
  </w:style>
  <w:style w:type="character" w:customStyle="1" w:styleId="Nivel2Char">
    <w:name w:val="Nivel 2 Char"/>
    <w:link w:val="Nivel2"/>
    <w:semiHidden/>
    <w:locked/>
    <w:rsid w:val="00CE716E"/>
    <w:rPr>
      <w:rFonts w:ascii="Arial" w:eastAsia="MS Mincho" w:hAnsi="Arial" w:cs="Arial"/>
      <w:color w:val="000000"/>
      <w:sz w:val="20"/>
      <w:szCs w:val="20"/>
      <w:lang w:eastAsia="pt-BR"/>
    </w:rPr>
  </w:style>
  <w:style w:type="paragraph" w:customStyle="1" w:styleId="Nivel2">
    <w:name w:val="Nivel 2"/>
    <w:basedOn w:val="Normal"/>
    <w:link w:val="Nivel2Char"/>
    <w:semiHidden/>
    <w:qFormat/>
    <w:rsid w:val="00CE716E"/>
    <w:pPr>
      <w:numPr>
        <w:ilvl w:val="1"/>
        <w:numId w:val="1"/>
      </w:numPr>
      <w:spacing w:before="120" w:after="120" w:line="276" w:lineRule="auto"/>
      <w:jc w:val="both"/>
    </w:pPr>
    <w:rPr>
      <w:rFonts w:eastAsia="MS Mincho" w:cs="Arial"/>
      <w:color w:val="000000"/>
      <w:sz w:val="20"/>
      <w:lang w:eastAsia="pt-BR"/>
    </w:rPr>
  </w:style>
  <w:style w:type="paragraph" w:customStyle="1" w:styleId="Nivel3">
    <w:name w:val="Nivel 3"/>
    <w:basedOn w:val="Normal"/>
    <w:uiPriority w:val="99"/>
    <w:semiHidden/>
    <w:qFormat/>
    <w:rsid w:val="00CE716E"/>
    <w:pPr>
      <w:numPr>
        <w:ilvl w:val="2"/>
        <w:numId w:val="1"/>
      </w:numPr>
      <w:spacing w:before="120" w:after="120" w:line="276" w:lineRule="auto"/>
      <w:jc w:val="both"/>
    </w:pPr>
    <w:rPr>
      <w:rFonts w:eastAsia="MS Mincho" w:cs="Arial"/>
      <w:color w:val="000000"/>
      <w:sz w:val="20"/>
      <w:lang w:eastAsia="pt-BR"/>
    </w:rPr>
  </w:style>
  <w:style w:type="paragraph" w:customStyle="1" w:styleId="Nivel4">
    <w:name w:val="Nivel 4"/>
    <w:basedOn w:val="Nivel3"/>
    <w:uiPriority w:val="99"/>
    <w:semiHidden/>
    <w:qFormat/>
    <w:rsid w:val="00CE716E"/>
    <w:pPr>
      <w:numPr>
        <w:ilvl w:val="3"/>
      </w:numPr>
      <w:ind w:left="851" w:firstLine="0"/>
    </w:pPr>
    <w:rPr>
      <w:color w:val="auto"/>
    </w:rPr>
  </w:style>
  <w:style w:type="paragraph" w:customStyle="1" w:styleId="Nivel5">
    <w:name w:val="Nivel 5"/>
    <w:basedOn w:val="Nivel4"/>
    <w:uiPriority w:val="99"/>
    <w:semiHidden/>
    <w:qFormat/>
    <w:rsid w:val="00CE716E"/>
    <w:pPr>
      <w:numPr>
        <w:ilvl w:val="4"/>
      </w:numPr>
      <w:ind w:left="851" w:firstLine="0"/>
    </w:pPr>
  </w:style>
  <w:style w:type="character" w:styleId="Refdenotaderodap">
    <w:name w:val="footnote reference"/>
    <w:uiPriority w:val="99"/>
    <w:semiHidden/>
    <w:unhideWhenUsed/>
    <w:rsid w:val="00CE716E"/>
    <w:rPr>
      <w:vertAlign w:val="superscript"/>
    </w:rPr>
  </w:style>
  <w:style w:type="table" w:styleId="Tabelacomgrade">
    <w:name w:val="Table Grid"/>
    <w:basedOn w:val="Tabelanormal"/>
    <w:uiPriority w:val="39"/>
    <w:rsid w:val="00CE716E"/>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rte">
    <w:name w:val="Strong"/>
    <w:basedOn w:val="Fontepargpadro"/>
    <w:uiPriority w:val="22"/>
    <w:qFormat/>
    <w:rsid w:val="00CE716E"/>
    <w:rPr>
      <w:b/>
      <w:bCs/>
    </w:rPr>
  </w:style>
  <w:style w:type="character" w:customStyle="1" w:styleId="Ttulo1Char">
    <w:name w:val="Título 1 Char"/>
    <w:basedOn w:val="Fontepargpadro"/>
    <w:link w:val="Ttulo1"/>
    <w:uiPriority w:val="9"/>
    <w:rsid w:val="00CE716E"/>
    <w:rPr>
      <w:rFonts w:asciiTheme="majorHAnsi" w:eastAsiaTheme="majorEastAsia" w:hAnsiTheme="majorHAnsi" w:cstheme="majorBidi"/>
      <w:color w:val="2E74B5" w:themeColor="accent1" w:themeShade="BF"/>
      <w:sz w:val="32"/>
      <w:szCs w:val="32"/>
    </w:rPr>
  </w:style>
  <w:style w:type="paragraph" w:styleId="Textodebalo">
    <w:name w:val="Balloon Text"/>
    <w:basedOn w:val="Normal"/>
    <w:link w:val="TextodebaloChar"/>
    <w:uiPriority w:val="99"/>
    <w:semiHidden/>
    <w:unhideWhenUsed/>
    <w:rsid w:val="00B73893"/>
    <w:rPr>
      <w:rFonts w:ascii="Segoe UI" w:hAnsi="Segoe UI" w:cs="Segoe UI"/>
      <w:sz w:val="18"/>
      <w:szCs w:val="18"/>
    </w:rPr>
  </w:style>
  <w:style w:type="character" w:customStyle="1" w:styleId="TextodebaloChar">
    <w:name w:val="Texto de balão Char"/>
    <w:basedOn w:val="Fontepargpadro"/>
    <w:link w:val="Textodebalo"/>
    <w:uiPriority w:val="99"/>
    <w:semiHidden/>
    <w:rsid w:val="00B73893"/>
    <w:rPr>
      <w:rFonts w:ascii="Segoe UI" w:eastAsia="Times New Roman" w:hAnsi="Segoe UI" w:cs="Segoe UI"/>
      <w:sz w:val="18"/>
      <w:szCs w:val="18"/>
    </w:rPr>
  </w:style>
  <w:style w:type="paragraph" w:styleId="Cabealho">
    <w:name w:val="header"/>
    <w:basedOn w:val="Normal"/>
    <w:link w:val="CabealhoChar"/>
    <w:uiPriority w:val="99"/>
    <w:unhideWhenUsed/>
    <w:rsid w:val="00B73893"/>
    <w:pPr>
      <w:tabs>
        <w:tab w:val="center" w:pos="4252"/>
        <w:tab w:val="right" w:pos="8504"/>
      </w:tabs>
    </w:pPr>
  </w:style>
  <w:style w:type="character" w:customStyle="1" w:styleId="CabealhoChar">
    <w:name w:val="Cabeçalho Char"/>
    <w:basedOn w:val="Fontepargpadro"/>
    <w:link w:val="Cabealho"/>
    <w:uiPriority w:val="99"/>
    <w:rsid w:val="00B73893"/>
    <w:rPr>
      <w:rFonts w:ascii="Arial" w:eastAsia="Times New Roman" w:hAnsi="Arial" w:cs="Times New Roman"/>
      <w:szCs w:val="20"/>
    </w:rPr>
  </w:style>
  <w:style w:type="paragraph" w:styleId="Rodap">
    <w:name w:val="footer"/>
    <w:basedOn w:val="Normal"/>
    <w:link w:val="RodapChar"/>
    <w:uiPriority w:val="99"/>
    <w:unhideWhenUsed/>
    <w:rsid w:val="00B73893"/>
    <w:pPr>
      <w:tabs>
        <w:tab w:val="center" w:pos="4252"/>
        <w:tab w:val="right" w:pos="8504"/>
      </w:tabs>
    </w:pPr>
  </w:style>
  <w:style w:type="character" w:customStyle="1" w:styleId="RodapChar">
    <w:name w:val="Rodapé Char"/>
    <w:basedOn w:val="Fontepargpadro"/>
    <w:link w:val="Rodap"/>
    <w:uiPriority w:val="99"/>
    <w:rsid w:val="00B73893"/>
    <w:rPr>
      <w:rFonts w:ascii="Arial" w:eastAsia="Times New Roman" w:hAnsi="Arial" w:cs="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802948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lanalto.gov.br/ccivil_03/_Ato2007-2010/2009/Lei/L12187.htm"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planalto.gov.br/ccivil_03/LEIS/L6404consol.htm"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www.planalto.gov.br/ccivil_03/_Ato2011-2014/2013/Lei/L12846.htm" TargetMode="External"/><Relationship Id="rId4" Type="http://schemas.openxmlformats.org/officeDocument/2006/relationships/webSettings" Target="webSettings.xml"/><Relationship Id="rId9" Type="http://schemas.openxmlformats.org/officeDocument/2006/relationships/hyperlink" Target="https://www.planalto.gov.br/ccivil_03/_ato2019-2022/2021/lei/l14133.htm" TargetMode="Externa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110</TotalTime>
  <Pages>27</Pages>
  <Words>6733</Words>
  <Characters>36359</Characters>
  <Application>Microsoft Office Word</Application>
  <DocSecurity>0</DocSecurity>
  <Lines>302</Lines>
  <Paragraphs>86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43006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user134</dc:creator>
  <cp:keywords/>
  <dc:description/>
  <cp:lastModifiedBy>user134</cp:lastModifiedBy>
  <cp:revision>9</cp:revision>
  <cp:lastPrinted>2025-02-14T11:24:00Z</cp:lastPrinted>
  <dcterms:created xsi:type="dcterms:W3CDTF">2025-02-14T10:59:00Z</dcterms:created>
  <dcterms:modified xsi:type="dcterms:W3CDTF">2025-02-14T13:34:00Z</dcterms:modified>
</cp:coreProperties>
</file>