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F5C" w:rsidRDefault="007E1F5C" w:rsidP="007E1F5C">
      <w:pPr>
        <w:pStyle w:val="Corpodetexto"/>
        <w:spacing w:after="0" w:line="360" w:lineRule="auto"/>
        <w:jc w:val="center"/>
        <w:rPr>
          <w:rFonts w:cs="Arial"/>
          <w:sz w:val="24"/>
          <w:szCs w:val="24"/>
        </w:rPr>
      </w:pPr>
      <w:r>
        <w:rPr>
          <w:rFonts w:cs="Arial"/>
          <w:b/>
          <w:bCs/>
          <w:sz w:val="24"/>
          <w:szCs w:val="24"/>
        </w:rPr>
        <w:t>EDITAL DE PREGÃO ELETRÔNI</w:t>
      </w:r>
      <w:r>
        <w:rPr>
          <w:rFonts w:cs="Arial"/>
          <w:b/>
          <w:bCs/>
          <w:sz w:val="24"/>
          <w:szCs w:val="24"/>
        </w:rPr>
        <w:t>CO PARA REGISTRO DE PREÇOS Nº 44</w:t>
      </w:r>
      <w:r>
        <w:rPr>
          <w:rFonts w:cs="Arial"/>
          <w:b/>
          <w:bCs/>
          <w:sz w:val="24"/>
          <w:szCs w:val="24"/>
        </w:rPr>
        <w:t>/2025</w:t>
      </w:r>
    </w:p>
    <w:p w:rsidR="007E1F5C" w:rsidRDefault="007E1F5C" w:rsidP="007E1F5C">
      <w:pPr>
        <w:spacing w:line="360" w:lineRule="auto"/>
        <w:rPr>
          <w:rFonts w:cs="Arial"/>
          <w:sz w:val="18"/>
          <w:szCs w:val="18"/>
        </w:rPr>
      </w:pPr>
    </w:p>
    <w:p w:rsidR="007E1F5C" w:rsidRDefault="007E1F5C" w:rsidP="007E1F5C">
      <w:pPr>
        <w:spacing w:line="360" w:lineRule="auto"/>
        <w:rPr>
          <w:rFonts w:cs="Arial"/>
          <w:sz w:val="18"/>
          <w:szCs w:val="18"/>
        </w:rPr>
      </w:pPr>
    </w:p>
    <w:p w:rsidR="007E1F5C" w:rsidRDefault="007E1F5C" w:rsidP="007E1F5C">
      <w:pPr>
        <w:spacing w:line="360" w:lineRule="auto"/>
        <w:jc w:val="both"/>
        <w:rPr>
          <w:rFonts w:cs="Arial"/>
          <w:sz w:val="24"/>
          <w:szCs w:val="24"/>
        </w:rPr>
      </w:pPr>
      <w:r>
        <w:rPr>
          <w:rFonts w:cs="Arial"/>
          <w:sz w:val="24"/>
          <w:szCs w:val="24"/>
        </w:rPr>
        <w:t>Município de Santo Antônio das Missões-RS.</w:t>
      </w:r>
    </w:p>
    <w:p w:rsidR="007E1F5C" w:rsidRDefault="007E1F5C" w:rsidP="007E1F5C">
      <w:pPr>
        <w:spacing w:line="360" w:lineRule="auto"/>
        <w:jc w:val="both"/>
        <w:rPr>
          <w:rFonts w:cs="Arial"/>
          <w:sz w:val="24"/>
          <w:szCs w:val="24"/>
        </w:rPr>
      </w:pPr>
      <w:r>
        <w:rPr>
          <w:rFonts w:cs="Arial"/>
          <w:sz w:val="24"/>
          <w:szCs w:val="24"/>
        </w:rPr>
        <w:t>Edital de Pregão Eletrôni</w:t>
      </w:r>
      <w:r>
        <w:rPr>
          <w:rFonts w:cs="Arial"/>
          <w:sz w:val="24"/>
          <w:szCs w:val="24"/>
        </w:rPr>
        <w:t>co para Registro de Preços nº 44</w:t>
      </w:r>
      <w:bookmarkStart w:id="0" w:name="_GoBack"/>
      <w:bookmarkEnd w:id="0"/>
      <w:r>
        <w:rPr>
          <w:rFonts w:cs="Arial"/>
          <w:sz w:val="24"/>
          <w:szCs w:val="24"/>
        </w:rPr>
        <w:t>/2025</w:t>
      </w:r>
    </w:p>
    <w:p w:rsidR="007E1F5C" w:rsidRDefault="007E1F5C" w:rsidP="007E1F5C">
      <w:pPr>
        <w:spacing w:line="360" w:lineRule="auto"/>
        <w:jc w:val="both"/>
        <w:rPr>
          <w:rFonts w:cs="Arial"/>
          <w:sz w:val="24"/>
          <w:szCs w:val="24"/>
        </w:rPr>
      </w:pPr>
      <w:r>
        <w:rPr>
          <w:rFonts w:cs="Arial"/>
          <w:sz w:val="24"/>
          <w:szCs w:val="24"/>
        </w:rPr>
        <w:t>Tipo de julgamento: menor preço por item</w:t>
      </w:r>
    </w:p>
    <w:p w:rsidR="007E1F5C" w:rsidRDefault="007E1F5C" w:rsidP="007E1F5C">
      <w:pPr>
        <w:spacing w:line="360" w:lineRule="auto"/>
        <w:jc w:val="both"/>
        <w:rPr>
          <w:rFonts w:cs="Arial"/>
          <w:sz w:val="24"/>
          <w:szCs w:val="24"/>
        </w:rPr>
      </w:pPr>
      <w:r>
        <w:rPr>
          <w:rFonts w:cs="Arial"/>
          <w:sz w:val="24"/>
          <w:szCs w:val="24"/>
        </w:rPr>
        <w:t>Modo de disputa: aberto</w:t>
      </w:r>
    </w:p>
    <w:p w:rsidR="007E1F5C" w:rsidRDefault="007E1F5C" w:rsidP="007E1F5C">
      <w:pPr>
        <w:spacing w:line="360" w:lineRule="auto"/>
        <w:ind w:firstLine="1134"/>
        <w:jc w:val="both"/>
        <w:rPr>
          <w:rFonts w:cs="Arial"/>
          <w:sz w:val="18"/>
          <w:szCs w:val="18"/>
        </w:rPr>
      </w:pPr>
    </w:p>
    <w:p w:rsidR="007E1F5C" w:rsidRDefault="007E1F5C" w:rsidP="007E1F5C">
      <w:pPr>
        <w:pStyle w:val="Textoembloco1"/>
        <w:spacing w:line="360" w:lineRule="auto"/>
        <w:ind w:left="0" w:firstLine="5"/>
        <w:rPr>
          <w:rFonts w:cs="Arial"/>
          <w:b/>
          <w:spacing w:val="0"/>
          <w:sz w:val="24"/>
          <w:szCs w:val="24"/>
          <w:u w:val="single"/>
        </w:rPr>
      </w:pPr>
      <w:r>
        <w:rPr>
          <w:rFonts w:cs="Arial"/>
          <w:b/>
          <w:spacing w:val="0"/>
          <w:sz w:val="24"/>
          <w:szCs w:val="24"/>
          <w:u w:val="single"/>
        </w:rPr>
        <w:t>Edital de pregão eletrônico para registro de preços unitários para o fornecimento de</w:t>
      </w:r>
      <w:r>
        <w:rPr>
          <w:rFonts w:cs="Arial"/>
          <w:b/>
          <w:spacing w:val="0"/>
          <w:sz w:val="24"/>
          <w:szCs w:val="24"/>
          <w:u w:val="single"/>
        </w:rPr>
        <w:t xml:space="preserve"> RECARGAS DE OXIGÊNIOS HOSPITALARES</w:t>
      </w:r>
      <w:r>
        <w:rPr>
          <w:rFonts w:cs="Arial"/>
          <w:b/>
          <w:spacing w:val="0"/>
          <w:sz w:val="24"/>
          <w:szCs w:val="24"/>
          <w:u w:val="single"/>
        </w:rPr>
        <w:t>.</w:t>
      </w:r>
    </w:p>
    <w:p w:rsidR="007E1F5C" w:rsidRDefault="007E1F5C" w:rsidP="007E1F5C">
      <w:pPr>
        <w:pStyle w:val="Textoembloco1"/>
        <w:spacing w:line="360" w:lineRule="auto"/>
        <w:ind w:left="0" w:firstLine="5"/>
        <w:rPr>
          <w:rFonts w:cs="Arial"/>
          <w:sz w:val="18"/>
          <w:szCs w:val="18"/>
        </w:rPr>
      </w:pPr>
    </w:p>
    <w:p w:rsidR="007E1F5C" w:rsidRDefault="007E1F5C" w:rsidP="007E1F5C">
      <w:pPr>
        <w:spacing w:line="360" w:lineRule="auto"/>
        <w:jc w:val="both"/>
        <w:rPr>
          <w:rFonts w:cs="Arial"/>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o registro de preços unitários para fornecimento de </w:t>
      </w:r>
      <w:r w:rsidRPr="007E1F5C">
        <w:rPr>
          <w:rFonts w:cs="Arial"/>
          <w:b/>
          <w:sz w:val="24"/>
          <w:szCs w:val="24"/>
        </w:rPr>
        <w:t>RECARGAS DE OXIGÊNIOS HOSPITALARES</w:t>
      </w:r>
      <w:r>
        <w:rPr>
          <w:rFonts w:cs="Arial"/>
          <w:sz w:val="24"/>
          <w:szCs w:val="24"/>
        </w:rPr>
        <w:t>, conforme descrito neste edital e seus anexos, e nos termos da Lei Federal nº 14.133, de 1º de abril de 2021, e do Decreto Municipal nº 5452/2023.</w:t>
      </w:r>
    </w:p>
    <w:p w:rsidR="007E1F5C" w:rsidRDefault="007E1F5C" w:rsidP="007E1F5C">
      <w:pPr>
        <w:spacing w:line="360" w:lineRule="auto"/>
        <w:jc w:val="both"/>
        <w:rPr>
          <w:rFonts w:cs="Arial"/>
          <w:sz w:val="18"/>
          <w:szCs w:val="18"/>
        </w:rPr>
      </w:pPr>
    </w:p>
    <w:p w:rsidR="007E1F5C" w:rsidRDefault="007E1F5C" w:rsidP="007E1F5C">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23</w:t>
      </w:r>
      <w:r>
        <w:rPr>
          <w:rFonts w:cs="Arial"/>
          <w:bCs/>
          <w:sz w:val="24"/>
          <w:szCs w:val="24"/>
        </w:rPr>
        <w:t xml:space="preserve"> de </w:t>
      </w:r>
      <w:r>
        <w:rPr>
          <w:rFonts w:cs="Arial"/>
          <w:bCs/>
          <w:sz w:val="24"/>
          <w:szCs w:val="24"/>
        </w:rPr>
        <w:t>abril</w:t>
      </w:r>
      <w:r>
        <w:rPr>
          <w:rFonts w:cs="Arial"/>
          <w:bCs/>
          <w:sz w:val="24"/>
          <w:szCs w:val="24"/>
        </w:rPr>
        <w:t xml:space="preserve"> </w:t>
      </w:r>
      <w:proofErr w:type="spellStart"/>
      <w:r>
        <w:rPr>
          <w:rFonts w:cs="Arial"/>
          <w:bCs/>
          <w:sz w:val="24"/>
          <w:szCs w:val="24"/>
        </w:rPr>
        <w:t>de</w:t>
      </w:r>
      <w:proofErr w:type="spellEnd"/>
      <w:r>
        <w:rPr>
          <w:rFonts w:cs="Arial"/>
          <w:bCs/>
          <w:sz w:val="24"/>
          <w:szCs w:val="24"/>
        </w:rPr>
        <w:t xml:space="preserve"> 2025, às 09:30h, podendo as propostas serem enviadas até às 09:00h, sendo que todas as referências de tempo observam o horário de Brasília.</w:t>
      </w:r>
    </w:p>
    <w:p w:rsidR="007E1F5C" w:rsidRDefault="007E1F5C" w:rsidP="007E1F5C">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7E1F5C" w:rsidRDefault="007E1F5C" w:rsidP="007E1F5C">
      <w:pPr>
        <w:spacing w:line="360" w:lineRule="auto"/>
        <w:jc w:val="both"/>
        <w:rPr>
          <w:rFonts w:cs="Arial"/>
          <w:b/>
          <w:sz w:val="24"/>
          <w:szCs w:val="24"/>
        </w:rPr>
      </w:pPr>
    </w:p>
    <w:p w:rsidR="007E1F5C" w:rsidRDefault="007E1F5C" w:rsidP="007E1F5C">
      <w:pPr>
        <w:spacing w:line="360" w:lineRule="auto"/>
        <w:jc w:val="both"/>
        <w:rPr>
          <w:rFonts w:cs="Arial"/>
          <w:sz w:val="24"/>
          <w:szCs w:val="24"/>
        </w:rPr>
      </w:pPr>
      <w:r>
        <w:rPr>
          <w:rFonts w:cs="Arial"/>
          <w:b/>
          <w:sz w:val="24"/>
          <w:szCs w:val="24"/>
        </w:rPr>
        <w:t>1. DO OBJETO:</w:t>
      </w:r>
    </w:p>
    <w:p w:rsidR="007E1F5C" w:rsidRDefault="007E1F5C" w:rsidP="007E1F5C">
      <w:pPr>
        <w:spacing w:line="360" w:lineRule="auto"/>
        <w:jc w:val="both"/>
        <w:rPr>
          <w:rFonts w:cs="Arial"/>
          <w:sz w:val="24"/>
          <w:szCs w:val="24"/>
        </w:rPr>
      </w:pPr>
      <w:r>
        <w:rPr>
          <w:rFonts w:cs="Arial"/>
          <w:sz w:val="24"/>
          <w:szCs w:val="24"/>
        </w:rPr>
        <w:lastRenderedPageBreak/>
        <w:t xml:space="preserve">1.1 - Constitui objeto da presente licitação o registro de preços para fornecimento de </w:t>
      </w:r>
      <w:r w:rsidRPr="007E1F5C">
        <w:rPr>
          <w:rFonts w:cs="Arial"/>
          <w:b/>
          <w:i/>
          <w:sz w:val="24"/>
          <w:szCs w:val="24"/>
        </w:rPr>
        <w:t>RECARGAS DE OXIGÊNIOS HOSPITALARES</w:t>
      </w:r>
      <w:r>
        <w:rPr>
          <w:rFonts w:cs="Arial"/>
          <w:sz w:val="24"/>
          <w:szCs w:val="24"/>
        </w:rPr>
        <w:t>, cujas descrições e condições de entrega estão detalhadas no Termo de Referência (Anexo I):</w:t>
      </w:r>
    </w:p>
    <w:p w:rsidR="007E1F5C" w:rsidRDefault="007E1F5C" w:rsidP="007E1F5C">
      <w:pPr>
        <w:spacing w:line="360" w:lineRule="auto"/>
        <w:jc w:val="both"/>
        <w:rPr>
          <w:rFonts w:cs="Arial"/>
          <w:sz w:val="24"/>
          <w:szCs w:val="24"/>
        </w:rPr>
      </w:pPr>
    </w:p>
    <w:tbl>
      <w:tblPr>
        <w:tblStyle w:val="Tabelacomgrade"/>
        <w:tblW w:w="9351" w:type="dxa"/>
        <w:tblInd w:w="0" w:type="dxa"/>
        <w:tblLook w:val="04A0" w:firstRow="1" w:lastRow="0" w:firstColumn="1" w:lastColumn="0" w:noHBand="0" w:noVBand="1"/>
      </w:tblPr>
      <w:tblGrid>
        <w:gridCol w:w="1119"/>
        <w:gridCol w:w="1130"/>
        <w:gridCol w:w="7102"/>
      </w:tblGrid>
      <w:tr w:rsidR="007E1F5C" w:rsidRPr="007E1F5C" w:rsidTr="007E1F5C">
        <w:tc>
          <w:tcPr>
            <w:tcW w:w="1119" w:type="dxa"/>
            <w:tcBorders>
              <w:top w:val="single" w:sz="4" w:space="0" w:color="auto"/>
              <w:left w:val="single" w:sz="4" w:space="0" w:color="auto"/>
              <w:bottom w:val="single" w:sz="4" w:space="0" w:color="auto"/>
              <w:right w:val="single" w:sz="4" w:space="0" w:color="auto"/>
            </w:tcBorders>
            <w:hideMark/>
          </w:tcPr>
          <w:p w:rsidR="007E1F5C" w:rsidRPr="007E1F5C" w:rsidRDefault="007E1F5C">
            <w:pPr>
              <w:spacing w:line="360" w:lineRule="auto"/>
              <w:jc w:val="both"/>
              <w:rPr>
                <w:rFonts w:cs="Arial"/>
                <w:sz w:val="24"/>
                <w:szCs w:val="24"/>
              </w:rPr>
            </w:pPr>
            <w:r w:rsidRPr="007E1F5C">
              <w:rPr>
                <w:rFonts w:cs="Arial"/>
                <w:sz w:val="24"/>
                <w:szCs w:val="24"/>
              </w:rPr>
              <w:t>Item</w:t>
            </w:r>
          </w:p>
        </w:tc>
        <w:tc>
          <w:tcPr>
            <w:tcW w:w="1130" w:type="dxa"/>
            <w:tcBorders>
              <w:top w:val="single" w:sz="4" w:space="0" w:color="auto"/>
              <w:left w:val="single" w:sz="4" w:space="0" w:color="auto"/>
              <w:bottom w:val="single" w:sz="4" w:space="0" w:color="auto"/>
              <w:right w:val="single" w:sz="4" w:space="0" w:color="auto"/>
            </w:tcBorders>
            <w:hideMark/>
          </w:tcPr>
          <w:p w:rsidR="007E1F5C" w:rsidRPr="007E1F5C" w:rsidRDefault="007E1F5C">
            <w:pPr>
              <w:spacing w:line="360" w:lineRule="auto"/>
              <w:jc w:val="both"/>
              <w:rPr>
                <w:rFonts w:cs="Arial"/>
                <w:sz w:val="24"/>
                <w:szCs w:val="24"/>
              </w:rPr>
            </w:pPr>
            <w:proofErr w:type="spellStart"/>
            <w:r w:rsidRPr="007E1F5C">
              <w:rPr>
                <w:rFonts w:cs="Arial"/>
                <w:sz w:val="24"/>
                <w:szCs w:val="24"/>
              </w:rPr>
              <w:t>Qtd</w:t>
            </w:r>
            <w:proofErr w:type="spellEnd"/>
            <w:r w:rsidRPr="007E1F5C">
              <w:rPr>
                <w:rFonts w:cs="Arial"/>
                <w:sz w:val="24"/>
                <w:szCs w:val="24"/>
              </w:rPr>
              <w:t xml:space="preserve"> Máx</w:t>
            </w:r>
            <w:r w:rsidR="00AA566B">
              <w:rPr>
                <w:rFonts w:cs="Arial"/>
                <w:sz w:val="24"/>
                <w:szCs w:val="24"/>
              </w:rPr>
              <w:t>.</w:t>
            </w:r>
          </w:p>
        </w:tc>
        <w:tc>
          <w:tcPr>
            <w:tcW w:w="7102" w:type="dxa"/>
            <w:tcBorders>
              <w:top w:val="single" w:sz="4" w:space="0" w:color="auto"/>
              <w:left w:val="single" w:sz="4" w:space="0" w:color="auto"/>
              <w:bottom w:val="single" w:sz="4" w:space="0" w:color="auto"/>
              <w:right w:val="single" w:sz="4" w:space="0" w:color="auto"/>
            </w:tcBorders>
            <w:hideMark/>
          </w:tcPr>
          <w:p w:rsidR="007E1F5C" w:rsidRPr="007E1F5C" w:rsidRDefault="007E1F5C">
            <w:pPr>
              <w:spacing w:line="360" w:lineRule="auto"/>
              <w:jc w:val="both"/>
              <w:rPr>
                <w:rFonts w:cs="Arial"/>
                <w:sz w:val="24"/>
                <w:szCs w:val="24"/>
              </w:rPr>
            </w:pPr>
            <w:r w:rsidRPr="007E1F5C">
              <w:rPr>
                <w:rFonts w:cs="Arial"/>
                <w:sz w:val="24"/>
                <w:szCs w:val="24"/>
              </w:rPr>
              <w:t>Objeto</w:t>
            </w:r>
          </w:p>
        </w:tc>
      </w:tr>
      <w:tr w:rsidR="007E1F5C" w:rsidRPr="007E1F5C" w:rsidTr="007E1F5C">
        <w:tc>
          <w:tcPr>
            <w:tcW w:w="1119" w:type="dxa"/>
            <w:tcBorders>
              <w:top w:val="single" w:sz="4" w:space="0" w:color="auto"/>
              <w:left w:val="single" w:sz="4" w:space="0" w:color="auto"/>
              <w:bottom w:val="single" w:sz="4" w:space="0" w:color="auto"/>
              <w:right w:val="single" w:sz="4" w:space="0" w:color="auto"/>
            </w:tcBorders>
          </w:tcPr>
          <w:p w:rsidR="007E1F5C" w:rsidRPr="007E1F5C" w:rsidRDefault="007E1F5C">
            <w:pPr>
              <w:spacing w:line="360" w:lineRule="auto"/>
              <w:jc w:val="both"/>
              <w:rPr>
                <w:rFonts w:cs="Arial"/>
                <w:sz w:val="24"/>
                <w:szCs w:val="24"/>
              </w:rPr>
            </w:pPr>
            <w:r w:rsidRPr="007E1F5C">
              <w:rPr>
                <w:rFonts w:cs="Arial"/>
                <w:sz w:val="24"/>
                <w:szCs w:val="24"/>
              </w:rPr>
              <w:t>01</w:t>
            </w:r>
          </w:p>
        </w:tc>
        <w:tc>
          <w:tcPr>
            <w:tcW w:w="1130" w:type="dxa"/>
            <w:tcBorders>
              <w:top w:val="single" w:sz="4" w:space="0" w:color="auto"/>
              <w:left w:val="single" w:sz="4" w:space="0" w:color="auto"/>
              <w:bottom w:val="single" w:sz="4" w:space="0" w:color="auto"/>
              <w:right w:val="single" w:sz="4" w:space="0" w:color="auto"/>
            </w:tcBorders>
          </w:tcPr>
          <w:p w:rsidR="007E1F5C" w:rsidRPr="007E1F5C" w:rsidRDefault="007E1F5C">
            <w:pPr>
              <w:spacing w:line="360" w:lineRule="auto"/>
              <w:jc w:val="both"/>
              <w:rPr>
                <w:rFonts w:cs="Arial"/>
                <w:sz w:val="24"/>
                <w:szCs w:val="24"/>
              </w:rPr>
            </w:pPr>
            <w:r w:rsidRPr="007E1F5C">
              <w:rPr>
                <w:rFonts w:cs="Arial"/>
                <w:sz w:val="24"/>
                <w:szCs w:val="24"/>
              </w:rPr>
              <w:t>20.000</w:t>
            </w:r>
          </w:p>
        </w:tc>
        <w:tc>
          <w:tcPr>
            <w:tcW w:w="7102" w:type="dxa"/>
            <w:tcBorders>
              <w:top w:val="single" w:sz="4" w:space="0" w:color="auto"/>
              <w:left w:val="single" w:sz="4" w:space="0" w:color="auto"/>
              <w:bottom w:val="single" w:sz="4" w:space="0" w:color="auto"/>
              <w:right w:val="single" w:sz="4" w:space="0" w:color="auto"/>
            </w:tcBorders>
          </w:tcPr>
          <w:p w:rsidR="007E1F5C" w:rsidRDefault="007E1F5C" w:rsidP="007E1F5C">
            <w:pPr>
              <w:jc w:val="both"/>
              <w:rPr>
                <w:rFonts w:eastAsiaTheme="majorEastAsia" w:cs="Arial"/>
                <w:b/>
                <w:i/>
                <w:sz w:val="24"/>
                <w:szCs w:val="24"/>
              </w:rPr>
            </w:pPr>
            <w:r w:rsidRPr="007E1F5C">
              <w:rPr>
                <w:rFonts w:eastAsiaTheme="majorEastAsia" w:cs="Arial"/>
                <w:b/>
                <w:i/>
                <w:sz w:val="24"/>
                <w:szCs w:val="24"/>
              </w:rPr>
              <w:t>O</w:t>
            </w:r>
            <w:r w:rsidRPr="007E1F5C">
              <w:rPr>
                <w:rFonts w:eastAsiaTheme="majorEastAsia" w:cs="Arial"/>
                <w:b/>
                <w:i/>
                <w:sz w:val="24"/>
                <w:szCs w:val="24"/>
              </w:rPr>
              <w:t>xigênio</w:t>
            </w:r>
            <w:r w:rsidRPr="007E1F5C">
              <w:rPr>
                <w:rFonts w:eastAsiaTheme="majorEastAsia" w:cs="Arial"/>
                <w:b/>
                <w:i/>
                <w:sz w:val="24"/>
                <w:szCs w:val="24"/>
              </w:rPr>
              <w:t xml:space="preserve"> de 1m³: </w:t>
            </w:r>
          </w:p>
          <w:p w:rsidR="007E1F5C" w:rsidRPr="007E1F5C" w:rsidRDefault="007E1F5C" w:rsidP="007E1F5C">
            <w:pPr>
              <w:jc w:val="both"/>
              <w:rPr>
                <w:rFonts w:eastAsiaTheme="majorEastAsia" w:cs="Arial"/>
                <w:b/>
                <w:i/>
                <w:sz w:val="24"/>
                <w:szCs w:val="24"/>
              </w:rPr>
            </w:pPr>
          </w:p>
          <w:p w:rsidR="007E1F5C" w:rsidRPr="007E1F5C" w:rsidRDefault="007E1F5C" w:rsidP="007E1F5C">
            <w:pPr>
              <w:jc w:val="both"/>
              <w:rPr>
                <w:rFonts w:eastAsiaTheme="majorEastAsia" w:cs="Arial"/>
                <w:sz w:val="24"/>
                <w:szCs w:val="24"/>
              </w:rPr>
            </w:pPr>
            <w:r w:rsidRPr="007E1F5C">
              <w:rPr>
                <w:rFonts w:eastAsiaTheme="majorEastAsia" w:cs="Arial"/>
                <w:sz w:val="24"/>
                <w:szCs w:val="24"/>
              </w:rPr>
              <w:t>D</w:t>
            </w:r>
            <w:r>
              <w:rPr>
                <w:rFonts w:eastAsiaTheme="majorEastAsia" w:cs="Arial"/>
                <w:sz w:val="24"/>
                <w:szCs w:val="24"/>
              </w:rPr>
              <w:t>ESCRIÇÕES TÉCNICAS</w:t>
            </w:r>
            <w:r w:rsidR="00AA566B">
              <w:rPr>
                <w:rFonts w:eastAsiaTheme="majorEastAsia" w:cs="Arial"/>
                <w:sz w:val="24"/>
                <w:szCs w:val="24"/>
              </w:rPr>
              <w:t>:</w:t>
            </w:r>
          </w:p>
          <w:p w:rsidR="007E1F5C" w:rsidRPr="007E1F5C" w:rsidRDefault="007E1F5C" w:rsidP="007E1F5C">
            <w:pPr>
              <w:jc w:val="both"/>
              <w:rPr>
                <w:rFonts w:eastAsiaTheme="majorEastAsia" w:cs="Arial"/>
                <w:sz w:val="24"/>
                <w:szCs w:val="24"/>
              </w:rPr>
            </w:pPr>
            <w:r w:rsidRPr="007E1F5C">
              <w:rPr>
                <w:rFonts w:eastAsiaTheme="majorEastAsia" w:cs="Arial"/>
                <w:sz w:val="24"/>
                <w:szCs w:val="24"/>
              </w:rPr>
              <w:t>Pureza mínima de 99,5% de oxigênio medicinal;</w:t>
            </w:r>
          </w:p>
          <w:p w:rsidR="007E1F5C" w:rsidRPr="007E1F5C" w:rsidRDefault="007E1F5C" w:rsidP="007E1F5C">
            <w:pPr>
              <w:jc w:val="both"/>
              <w:rPr>
                <w:rFonts w:eastAsiaTheme="majorEastAsia" w:cs="Arial"/>
                <w:sz w:val="24"/>
                <w:szCs w:val="24"/>
              </w:rPr>
            </w:pPr>
            <w:r w:rsidRPr="007E1F5C">
              <w:rPr>
                <w:rFonts w:eastAsiaTheme="majorEastAsia" w:cs="Arial"/>
                <w:sz w:val="24"/>
                <w:szCs w:val="24"/>
              </w:rPr>
              <w:t>Cilindros adequados ao transporte e armazenamento de oxigênio medicinal, atendendo as normas de segurança da ANVISA, INMETRO e da ABNT;</w:t>
            </w:r>
          </w:p>
          <w:p w:rsidR="007E1F5C" w:rsidRPr="007E1F5C" w:rsidRDefault="007E1F5C" w:rsidP="007E1F5C">
            <w:pPr>
              <w:jc w:val="both"/>
              <w:rPr>
                <w:rFonts w:eastAsiaTheme="majorEastAsia" w:cs="Arial"/>
                <w:sz w:val="24"/>
                <w:szCs w:val="24"/>
              </w:rPr>
            </w:pPr>
            <w:r w:rsidRPr="007E1F5C">
              <w:rPr>
                <w:rFonts w:eastAsiaTheme="majorEastAsia" w:cs="Arial"/>
                <w:sz w:val="24"/>
                <w:szCs w:val="24"/>
              </w:rPr>
              <w:t>Comodato dos cilindros de oxigênio, com garantia de troca e manutenção, e disponibilização de cilindros em boas condições para uso imediato.</w:t>
            </w:r>
          </w:p>
        </w:tc>
      </w:tr>
      <w:tr w:rsidR="007E1F5C" w:rsidRPr="007E1F5C" w:rsidTr="007E1F5C">
        <w:tc>
          <w:tcPr>
            <w:tcW w:w="1119" w:type="dxa"/>
            <w:tcBorders>
              <w:top w:val="single" w:sz="4" w:space="0" w:color="auto"/>
              <w:left w:val="single" w:sz="4" w:space="0" w:color="auto"/>
              <w:bottom w:val="single" w:sz="4" w:space="0" w:color="auto"/>
              <w:right w:val="single" w:sz="4" w:space="0" w:color="auto"/>
            </w:tcBorders>
          </w:tcPr>
          <w:p w:rsidR="007E1F5C" w:rsidRPr="007E1F5C" w:rsidRDefault="007E1F5C">
            <w:pPr>
              <w:spacing w:line="360" w:lineRule="auto"/>
              <w:jc w:val="both"/>
              <w:rPr>
                <w:rFonts w:cs="Arial"/>
                <w:sz w:val="24"/>
                <w:szCs w:val="24"/>
              </w:rPr>
            </w:pPr>
            <w:r w:rsidRPr="007E1F5C">
              <w:rPr>
                <w:rFonts w:cs="Arial"/>
                <w:sz w:val="24"/>
                <w:szCs w:val="24"/>
              </w:rPr>
              <w:t>02</w:t>
            </w:r>
          </w:p>
        </w:tc>
        <w:tc>
          <w:tcPr>
            <w:tcW w:w="1130" w:type="dxa"/>
            <w:tcBorders>
              <w:top w:val="single" w:sz="4" w:space="0" w:color="auto"/>
              <w:left w:val="single" w:sz="4" w:space="0" w:color="auto"/>
              <w:bottom w:val="single" w:sz="4" w:space="0" w:color="auto"/>
              <w:right w:val="single" w:sz="4" w:space="0" w:color="auto"/>
            </w:tcBorders>
          </w:tcPr>
          <w:p w:rsidR="007E1F5C" w:rsidRPr="007E1F5C" w:rsidRDefault="007E1F5C">
            <w:pPr>
              <w:spacing w:line="360" w:lineRule="auto"/>
              <w:jc w:val="both"/>
              <w:rPr>
                <w:rFonts w:cs="Arial"/>
                <w:sz w:val="24"/>
                <w:szCs w:val="24"/>
              </w:rPr>
            </w:pPr>
            <w:r w:rsidRPr="007E1F5C">
              <w:rPr>
                <w:rFonts w:cs="Arial"/>
                <w:sz w:val="24"/>
                <w:szCs w:val="24"/>
              </w:rPr>
              <w:t>20.000</w:t>
            </w:r>
          </w:p>
        </w:tc>
        <w:tc>
          <w:tcPr>
            <w:tcW w:w="7102" w:type="dxa"/>
            <w:tcBorders>
              <w:top w:val="single" w:sz="4" w:space="0" w:color="auto"/>
              <w:left w:val="single" w:sz="4" w:space="0" w:color="auto"/>
              <w:bottom w:val="single" w:sz="4" w:space="0" w:color="auto"/>
              <w:right w:val="single" w:sz="4" w:space="0" w:color="auto"/>
            </w:tcBorders>
          </w:tcPr>
          <w:p w:rsidR="007E1F5C" w:rsidRDefault="007E1F5C" w:rsidP="007E1F5C">
            <w:pPr>
              <w:jc w:val="both"/>
              <w:rPr>
                <w:rFonts w:eastAsiaTheme="majorEastAsia" w:cs="Arial"/>
                <w:sz w:val="24"/>
                <w:szCs w:val="24"/>
              </w:rPr>
            </w:pPr>
            <w:r w:rsidRPr="007E1F5C">
              <w:rPr>
                <w:rFonts w:eastAsiaTheme="majorEastAsia" w:cs="Arial"/>
                <w:b/>
                <w:i/>
                <w:sz w:val="24"/>
                <w:szCs w:val="24"/>
                <w:u w:val="single"/>
              </w:rPr>
              <w:t>Oxigênio</w:t>
            </w:r>
            <w:r w:rsidRPr="007E1F5C">
              <w:rPr>
                <w:rFonts w:eastAsiaTheme="majorEastAsia" w:cs="Arial"/>
                <w:b/>
                <w:i/>
                <w:sz w:val="24"/>
                <w:szCs w:val="24"/>
                <w:u w:val="single"/>
              </w:rPr>
              <w:t xml:space="preserve"> de 3</w:t>
            </w:r>
            <w:r w:rsidRPr="007E1F5C">
              <w:rPr>
                <w:rFonts w:eastAsiaTheme="majorEastAsia" w:cs="Arial"/>
                <w:b/>
                <w:i/>
                <w:sz w:val="24"/>
                <w:szCs w:val="24"/>
                <w:u w:val="single"/>
              </w:rPr>
              <w:t>m³</w:t>
            </w:r>
            <w:r w:rsidRPr="007E1F5C">
              <w:rPr>
                <w:rFonts w:eastAsiaTheme="majorEastAsia" w:cs="Arial"/>
                <w:b/>
                <w:i/>
                <w:sz w:val="24"/>
                <w:szCs w:val="24"/>
                <w:u w:val="single"/>
              </w:rPr>
              <w:t>:</w:t>
            </w:r>
            <w:r w:rsidRPr="007E1F5C">
              <w:rPr>
                <w:rFonts w:eastAsiaTheme="majorEastAsia" w:cs="Arial"/>
                <w:sz w:val="24"/>
                <w:szCs w:val="24"/>
              </w:rPr>
              <w:t xml:space="preserve"> </w:t>
            </w:r>
          </w:p>
          <w:p w:rsidR="007E1F5C" w:rsidRPr="007E1F5C" w:rsidRDefault="007E1F5C" w:rsidP="007E1F5C">
            <w:pPr>
              <w:jc w:val="both"/>
              <w:rPr>
                <w:rFonts w:eastAsiaTheme="majorEastAsia" w:cs="Arial"/>
                <w:sz w:val="24"/>
                <w:szCs w:val="24"/>
              </w:rPr>
            </w:pPr>
          </w:p>
          <w:p w:rsidR="007E1F5C" w:rsidRPr="007E1F5C" w:rsidRDefault="007E1F5C" w:rsidP="007E1F5C">
            <w:pPr>
              <w:jc w:val="both"/>
              <w:rPr>
                <w:rFonts w:eastAsiaTheme="majorEastAsia" w:cs="Arial"/>
                <w:sz w:val="24"/>
                <w:szCs w:val="24"/>
              </w:rPr>
            </w:pPr>
            <w:r w:rsidRPr="007E1F5C">
              <w:rPr>
                <w:rFonts w:eastAsiaTheme="majorEastAsia" w:cs="Arial"/>
                <w:sz w:val="24"/>
                <w:szCs w:val="24"/>
              </w:rPr>
              <w:t>DESCRIÇÕES TÉCNICAS:</w:t>
            </w:r>
          </w:p>
          <w:p w:rsidR="007E1F5C" w:rsidRPr="007E1F5C" w:rsidRDefault="007E1F5C" w:rsidP="007E1F5C">
            <w:pPr>
              <w:jc w:val="both"/>
              <w:rPr>
                <w:rFonts w:eastAsiaTheme="majorEastAsia" w:cs="Arial"/>
                <w:sz w:val="24"/>
                <w:szCs w:val="24"/>
              </w:rPr>
            </w:pPr>
            <w:r w:rsidRPr="007E1F5C">
              <w:rPr>
                <w:rFonts w:eastAsiaTheme="majorEastAsia" w:cs="Arial"/>
                <w:sz w:val="24"/>
                <w:szCs w:val="24"/>
              </w:rPr>
              <w:t>Pureza mínima de 99,5% de oxigênio medicinal;</w:t>
            </w:r>
          </w:p>
          <w:p w:rsidR="007E1F5C" w:rsidRPr="007E1F5C" w:rsidRDefault="007E1F5C" w:rsidP="007E1F5C">
            <w:pPr>
              <w:jc w:val="both"/>
              <w:rPr>
                <w:rFonts w:eastAsiaTheme="majorEastAsia" w:cs="Arial"/>
                <w:sz w:val="24"/>
                <w:szCs w:val="24"/>
              </w:rPr>
            </w:pPr>
            <w:r w:rsidRPr="007E1F5C">
              <w:rPr>
                <w:rFonts w:eastAsiaTheme="majorEastAsia" w:cs="Arial"/>
                <w:sz w:val="24"/>
                <w:szCs w:val="24"/>
              </w:rPr>
              <w:t>Cilindros adequados ao transporte e armazenamento de oxigênio medicinal, atendendo as normas de segurança da ANVISA, INMETRO e da ABNT;</w:t>
            </w:r>
          </w:p>
          <w:p w:rsidR="007E1F5C" w:rsidRPr="007E1F5C" w:rsidRDefault="007E1F5C" w:rsidP="007E1F5C">
            <w:pPr>
              <w:jc w:val="both"/>
              <w:rPr>
                <w:rFonts w:eastAsiaTheme="majorEastAsia" w:cs="Arial"/>
                <w:sz w:val="24"/>
                <w:szCs w:val="24"/>
              </w:rPr>
            </w:pPr>
            <w:r w:rsidRPr="007E1F5C">
              <w:rPr>
                <w:rFonts w:eastAsiaTheme="majorEastAsia" w:cs="Arial"/>
                <w:sz w:val="24"/>
                <w:szCs w:val="24"/>
              </w:rPr>
              <w:t>Comodato dos cilindros de oxigênio, com garantia de troca e manutenção, e disponibilização de cilindros em boas condições para uso imediato.</w:t>
            </w:r>
          </w:p>
        </w:tc>
      </w:tr>
      <w:tr w:rsidR="007E1F5C" w:rsidRPr="007E1F5C" w:rsidTr="007E1F5C">
        <w:tc>
          <w:tcPr>
            <w:tcW w:w="1119" w:type="dxa"/>
            <w:tcBorders>
              <w:top w:val="single" w:sz="4" w:space="0" w:color="auto"/>
              <w:left w:val="single" w:sz="4" w:space="0" w:color="auto"/>
              <w:bottom w:val="single" w:sz="4" w:space="0" w:color="auto"/>
              <w:right w:val="single" w:sz="4" w:space="0" w:color="auto"/>
            </w:tcBorders>
          </w:tcPr>
          <w:p w:rsidR="007E1F5C" w:rsidRPr="007E1F5C" w:rsidRDefault="007E1F5C">
            <w:pPr>
              <w:spacing w:line="360" w:lineRule="auto"/>
              <w:jc w:val="both"/>
              <w:rPr>
                <w:rFonts w:cs="Arial"/>
                <w:sz w:val="24"/>
                <w:szCs w:val="24"/>
              </w:rPr>
            </w:pPr>
            <w:r w:rsidRPr="007E1F5C">
              <w:rPr>
                <w:rFonts w:cs="Arial"/>
                <w:sz w:val="24"/>
                <w:szCs w:val="24"/>
              </w:rPr>
              <w:t>03</w:t>
            </w:r>
          </w:p>
        </w:tc>
        <w:tc>
          <w:tcPr>
            <w:tcW w:w="1130" w:type="dxa"/>
            <w:tcBorders>
              <w:top w:val="single" w:sz="4" w:space="0" w:color="auto"/>
              <w:left w:val="single" w:sz="4" w:space="0" w:color="auto"/>
              <w:bottom w:val="single" w:sz="4" w:space="0" w:color="auto"/>
              <w:right w:val="single" w:sz="4" w:space="0" w:color="auto"/>
            </w:tcBorders>
          </w:tcPr>
          <w:p w:rsidR="007E1F5C" w:rsidRPr="007E1F5C" w:rsidRDefault="007E1F5C">
            <w:pPr>
              <w:spacing w:line="360" w:lineRule="auto"/>
              <w:jc w:val="both"/>
              <w:rPr>
                <w:rFonts w:cs="Arial"/>
                <w:sz w:val="24"/>
                <w:szCs w:val="24"/>
              </w:rPr>
            </w:pPr>
            <w:r w:rsidRPr="007E1F5C">
              <w:rPr>
                <w:rFonts w:cs="Arial"/>
                <w:sz w:val="24"/>
                <w:szCs w:val="24"/>
              </w:rPr>
              <w:t>20.000</w:t>
            </w:r>
          </w:p>
        </w:tc>
        <w:tc>
          <w:tcPr>
            <w:tcW w:w="7102" w:type="dxa"/>
            <w:tcBorders>
              <w:top w:val="single" w:sz="4" w:space="0" w:color="auto"/>
              <w:left w:val="single" w:sz="4" w:space="0" w:color="auto"/>
              <w:bottom w:val="single" w:sz="4" w:space="0" w:color="auto"/>
              <w:right w:val="single" w:sz="4" w:space="0" w:color="auto"/>
            </w:tcBorders>
          </w:tcPr>
          <w:p w:rsidR="007E1F5C" w:rsidRPr="00AA566B" w:rsidRDefault="007E1F5C">
            <w:pPr>
              <w:spacing w:line="360" w:lineRule="auto"/>
              <w:jc w:val="both"/>
              <w:rPr>
                <w:rFonts w:eastAsiaTheme="majorEastAsia" w:cs="Arial"/>
                <w:b/>
                <w:i/>
                <w:sz w:val="24"/>
                <w:szCs w:val="24"/>
                <w:u w:val="single"/>
              </w:rPr>
            </w:pPr>
            <w:r w:rsidRPr="00AA566B">
              <w:rPr>
                <w:rFonts w:eastAsiaTheme="majorEastAsia" w:cs="Arial"/>
                <w:b/>
                <w:i/>
                <w:sz w:val="24"/>
                <w:szCs w:val="24"/>
                <w:u w:val="single"/>
              </w:rPr>
              <w:t>Oxigênio</w:t>
            </w:r>
            <w:r w:rsidRPr="00AA566B">
              <w:rPr>
                <w:rFonts w:eastAsiaTheme="majorEastAsia" w:cs="Arial"/>
                <w:b/>
                <w:i/>
                <w:sz w:val="24"/>
                <w:szCs w:val="24"/>
                <w:u w:val="single"/>
              </w:rPr>
              <w:t xml:space="preserve"> de 7</w:t>
            </w:r>
            <w:r w:rsidRPr="00AA566B">
              <w:rPr>
                <w:rFonts w:eastAsiaTheme="majorEastAsia" w:cs="Arial"/>
                <w:b/>
                <w:i/>
                <w:sz w:val="24"/>
                <w:szCs w:val="24"/>
                <w:u w:val="single"/>
              </w:rPr>
              <w:t>m³</w:t>
            </w:r>
            <w:r w:rsidR="00AA566B" w:rsidRPr="00AA566B">
              <w:rPr>
                <w:rFonts w:eastAsiaTheme="majorEastAsia" w:cs="Arial"/>
                <w:b/>
                <w:i/>
                <w:sz w:val="24"/>
                <w:szCs w:val="24"/>
                <w:u w:val="single"/>
              </w:rPr>
              <w:t>:</w:t>
            </w:r>
          </w:p>
          <w:p w:rsidR="00AA566B" w:rsidRPr="00AA566B" w:rsidRDefault="00AA566B" w:rsidP="00AA566B">
            <w:pPr>
              <w:jc w:val="both"/>
              <w:rPr>
                <w:rFonts w:eastAsiaTheme="majorEastAsia" w:cs="Arial"/>
                <w:sz w:val="24"/>
                <w:szCs w:val="24"/>
              </w:rPr>
            </w:pPr>
            <w:r w:rsidRPr="00AA566B">
              <w:rPr>
                <w:rFonts w:eastAsiaTheme="majorEastAsia" w:cs="Arial"/>
                <w:sz w:val="24"/>
                <w:szCs w:val="24"/>
              </w:rPr>
              <w:t>DESCRIÇÕES TÉCNICAS:</w:t>
            </w:r>
          </w:p>
          <w:p w:rsidR="00AA566B" w:rsidRPr="00AA566B" w:rsidRDefault="00AA566B" w:rsidP="00AA566B">
            <w:pPr>
              <w:jc w:val="both"/>
              <w:rPr>
                <w:rFonts w:eastAsiaTheme="majorEastAsia" w:cs="Arial"/>
                <w:sz w:val="24"/>
                <w:szCs w:val="24"/>
              </w:rPr>
            </w:pPr>
            <w:r w:rsidRPr="00AA566B">
              <w:rPr>
                <w:rFonts w:eastAsiaTheme="majorEastAsia" w:cs="Arial"/>
                <w:sz w:val="24"/>
                <w:szCs w:val="24"/>
              </w:rPr>
              <w:t>Pureza mínima de 99,5% de oxigênio medicinal;</w:t>
            </w:r>
          </w:p>
          <w:p w:rsidR="00AA566B" w:rsidRPr="00AA566B" w:rsidRDefault="00AA566B" w:rsidP="00AA566B">
            <w:pPr>
              <w:jc w:val="both"/>
              <w:rPr>
                <w:rFonts w:eastAsiaTheme="majorEastAsia" w:cs="Arial"/>
                <w:sz w:val="24"/>
                <w:szCs w:val="24"/>
              </w:rPr>
            </w:pPr>
            <w:r w:rsidRPr="00AA566B">
              <w:rPr>
                <w:rFonts w:eastAsiaTheme="majorEastAsia" w:cs="Arial"/>
                <w:sz w:val="24"/>
                <w:szCs w:val="24"/>
              </w:rPr>
              <w:t>Cilindros adequados ao transporte e armazenamento de oxigênio medicinal, atendendo as normas de segurança da ANVISA, INMETRO e da ABNT;</w:t>
            </w:r>
          </w:p>
          <w:p w:rsidR="00AA566B" w:rsidRPr="00AA566B" w:rsidRDefault="00AA566B" w:rsidP="00AA566B">
            <w:pPr>
              <w:jc w:val="both"/>
              <w:rPr>
                <w:rFonts w:eastAsiaTheme="majorEastAsia" w:cs="Arial"/>
                <w:sz w:val="24"/>
                <w:szCs w:val="24"/>
              </w:rPr>
            </w:pPr>
            <w:r w:rsidRPr="00AA566B">
              <w:rPr>
                <w:rFonts w:eastAsiaTheme="majorEastAsia" w:cs="Arial"/>
                <w:sz w:val="24"/>
                <w:szCs w:val="24"/>
              </w:rPr>
              <w:t>Comodato dos cilindros de oxigênio, com garantia de troca e manutenção, e disponibilização de cilindros em boas condições para uso imediato.</w:t>
            </w:r>
          </w:p>
        </w:tc>
      </w:tr>
      <w:tr w:rsidR="007E1F5C" w:rsidTr="007E1F5C">
        <w:tc>
          <w:tcPr>
            <w:tcW w:w="1119" w:type="dxa"/>
            <w:tcBorders>
              <w:top w:val="single" w:sz="4" w:space="0" w:color="auto"/>
              <w:left w:val="single" w:sz="4" w:space="0" w:color="auto"/>
              <w:bottom w:val="single" w:sz="4" w:space="0" w:color="auto"/>
              <w:right w:val="single" w:sz="4" w:space="0" w:color="auto"/>
            </w:tcBorders>
          </w:tcPr>
          <w:p w:rsidR="007E1F5C" w:rsidRDefault="007E1F5C">
            <w:pPr>
              <w:spacing w:line="360" w:lineRule="auto"/>
              <w:jc w:val="both"/>
              <w:rPr>
                <w:rFonts w:cs="Arial"/>
                <w:sz w:val="24"/>
                <w:szCs w:val="24"/>
              </w:rPr>
            </w:pPr>
          </w:p>
        </w:tc>
        <w:tc>
          <w:tcPr>
            <w:tcW w:w="1130" w:type="dxa"/>
            <w:tcBorders>
              <w:top w:val="single" w:sz="4" w:space="0" w:color="auto"/>
              <w:left w:val="single" w:sz="4" w:space="0" w:color="auto"/>
              <w:bottom w:val="single" w:sz="4" w:space="0" w:color="auto"/>
              <w:right w:val="single" w:sz="4" w:space="0" w:color="auto"/>
            </w:tcBorders>
          </w:tcPr>
          <w:p w:rsidR="007E1F5C" w:rsidRDefault="007E1F5C">
            <w:pPr>
              <w:spacing w:line="360" w:lineRule="auto"/>
              <w:jc w:val="both"/>
              <w:rPr>
                <w:rFonts w:cs="Arial"/>
                <w:sz w:val="24"/>
                <w:szCs w:val="24"/>
              </w:rPr>
            </w:pPr>
          </w:p>
        </w:tc>
        <w:tc>
          <w:tcPr>
            <w:tcW w:w="7102" w:type="dxa"/>
            <w:tcBorders>
              <w:top w:val="single" w:sz="4" w:space="0" w:color="auto"/>
              <w:left w:val="single" w:sz="4" w:space="0" w:color="auto"/>
              <w:bottom w:val="single" w:sz="4" w:space="0" w:color="auto"/>
              <w:right w:val="single" w:sz="4" w:space="0" w:color="auto"/>
            </w:tcBorders>
          </w:tcPr>
          <w:p w:rsidR="007E1F5C" w:rsidRDefault="007E1F5C">
            <w:pPr>
              <w:spacing w:line="360" w:lineRule="auto"/>
              <w:jc w:val="both"/>
              <w:rPr>
                <w:rFonts w:cs="Arial"/>
                <w:sz w:val="24"/>
                <w:szCs w:val="24"/>
              </w:rPr>
            </w:pPr>
          </w:p>
        </w:tc>
      </w:tr>
    </w:tbl>
    <w:p w:rsidR="007E1F5C" w:rsidRDefault="007E1F5C" w:rsidP="007E1F5C">
      <w:pPr>
        <w:spacing w:line="360" w:lineRule="auto"/>
        <w:jc w:val="both"/>
        <w:rPr>
          <w:rFonts w:cs="Arial"/>
          <w:sz w:val="24"/>
          <w:szCs w:val="24"/>
        </w:rPr>
      </w:pPr>
    </w:p>
    <w:p w:rsidR="007E1F5C" w:rsidRDefault="007E1F5C" w:rsidP="007E1F5C">
      <w:pPr>
        <w:pStyle w:val="Recuodecorpodetexto"/>
        <w:spacing w:before="0"/>
        <w:ind w:firstLine="0"/>
        <w:rPr>
          <w:rFonts w:cs="Arial"/>
          <w:sz w:val="24"/>
          <w:szCs w:val="24"/>
        </w:rPr>
      </w:pPr>
    </w:p>
    <w:p w:rsidR="007E1F5C" w:rsidRDefault="007E1F5C" w:rsidP="00C42008">
      <w:pPr>
        <w:tabs>
          <w:tab w:val="left" w:pos="1134"/>
        </w:tabs>
        <w:spacing w:line="360" w:lineRule="auto"/>
        <w:jc w:val="both"/>
        <w:rPr>
          <w:rFonts w:cs="Arial"/>
          <w:sz w:val="24"/>
          <w:szCs w:val="24"/>
        </w:rPr>
      </w:pPr>
      <w:r>
        <w:rPr>
          <w:rFonts w:cs="Arial"/>
          <w:sz w:val="24"/>
          <w:szCs w:val="24"/>
        </w:rPr>
        <w:lastRenderedPageBreak/>
        <w:t>1.2 -</w:t>
      </w:r>
      <w:r w:rsidR="00C42008">
        <w:rPr>
          <w:rFonts w:cs="Arial"/>
          <w:sz w:val="24"/>
          <w:szCs w:val="24"/>
        </w:rPr>
        <w:t xml:space="preserve"> </w:t>
      </w:r>
      <w:r w:rsidR="00C42008">
        <w:rPr>
          <w:rFonts w:cs="Arial"/>
          <w:sz w:val="24"/>
          <w:szCs w:val="24"/>
        </w:rPr>
        <w:t>Os materiais, deverão ser entregues no Pronto Atendimento Municipal de Santo Antônio das Missões-RS ou conforme determinação da Secretaria Municipal de Saúde, no h</w:t>
      </w:r>
      <w:r w:rsidR="00C42008">
        <w:rPr>
          <w:rFonts w:cs="Arial"/>
          <w:sz w:val="24"/>
          <w:szCs w:val="24"/>
        </w:rPr>
        <w:t>orário das 08:00 ás 14:00 horas</w:t>
      </w:r>
      <w:r w:rsidR="00AA566B">
        <w:rPr>
          <w:rFonts w:cs="Arial"/>
          <w:sz w:val="24"/>
          <w:szCs w:val="24"/>
        </w:rPr>
        <w:t>, em até 02</w:t>
      </w:r>
      <w:r>
        <w:rPr>
          <w:rFonts w:cs="Arial"/>
          <w:sz w:val="24"/>
          <w:szCs w:val="24"/>
        </w:rPr>
        <w:t xml:space="preserve"> </w:t>
      </w:r>
      <w:proofErr w:type="gramStart"/>
      <w:r>
        <w:rPr>
          <w:rFonts w:cs="Arial"/>
          <w:sz w:val="24"/>
          <w:szCs w:val="24"/>
        </w:rPr>
        <w:t>(</w:t>
      </w:r>
      <w:r w:rsidR="00AA566B">
        <w:rPr>
          <w:rFonts w:cs="Arial"/>
          <w:sz w:val="24"/>
          <w:szCs w:val="24"/>
        </w:rPr>
        <w:t xml:space="preserve"> dois</w:t>
      </w:r>
      <w:proofErr w:type="gramEnd"/>
      <w:r>
        <w:rPr>
          <w:rFonts w:cs="Arial"/>
          <w:sz w:val="24"/>
          <w:szCs w:val="24"/>
        </w:rPr>
        <w:t>) dias úteis da ordem de fornecimento, em horário de expediente, devendo comunicar-se previamente com o fiscal da ata de registro de preços e/ou contrato, para que esse acompanhe a entrega.</w:t>
      </w:r>
    </w:p>
    <w:p w:rsidR="007E1F5C" w:rsidRDefault="007E1F5C" w:rsidP="007E1F5C">
      <w:pPr>
        <w:spacing w:line="360" w:lineRule="auto"/>
        <w:jc w:val="both"/>
        <w:rPr>
          <w:rFonts w:cs="Arial"/>
          <w:sz w:val="24"/>
          <w:szCs w:val="24"/>
        </w:rPr>
      </w:pPr>
    </w:p>
    <w:p w:rsidR="007E1F5C" w:rsidRDefault="007E1F5C" w:rsidP="007E1F5C">
      <w:pPr>
        <w:spacing w:line="360" w:lineRule="auto"/>
        <w:jc w:val="both"/>
        <w:rPr>
          <w:rFonts w:cs="Arial"/>
          <w:b/>
          <w:sz w:val="24"/>
          <w:szCs w:val="24"/>
        </w:rPr>
      </w:pPr>
      <w:r>
        <w:rPr>
          <w:rFonts w:cs="Arial"/>
          <w:b/>
          <w:sz w:val="24"/>
          <w:szCs w:val="24"/>
        </w:rPr>
        <w:t>2. CREDENCIAMENTO E PARTICIPAÇÃO DO CERTAME</w:t>
      </w:r>
    </w:p>
    <w:p w:rsidR="007E1F5C" w:rsidRDefault="007E1F5C" w:rsidP="007E1F5C">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7E1F5C" w:rsidRDefault="007E1F5C" w:rsidP="007E1F5C">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7E1F5C" w:rsidRDefault="007E1F5C" w:rsidP="007E1F5C">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7E1F5C" w:rsidRDefault="007E1F5C" w:rsidP="007E1F5C">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7E1F5C" w:rsidRDefault="007E1F5C" w:rsidP="007E1F5C">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7E1F5C" w:rsidRDefault="007E1F5C" w:rsidP="007E1F5C">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7E1F5C" w:rsidRDefault="007E1F5C" w:rsidP="007E1F5C">
      <w:pPr>
        <w:spacing w:line="360" w:lineRule="auto"/>
        <w:jc w:val="both"/>
        <w:rPr>
          <w:rFonts w:cs="Arial"/>
          <w:sz w:val="24"/>
          <w:szCs w:val="24"/>
        </w:rPr>
      </w:pPr>
      <w:r>
        <w:rPr>
          <w:rFonts w:cs="Arial"/>
          <w:b/>
          <w:bCs/>
          <w:sz w:val="24"/>
          <w:szCs w:val="24"/>
        </w:rPr>
        <w:lastRenderedPageBreak/>
        <w:t>2.3.4.</w:t>
      </w:r>
      <w:r>
        <w:rPr>
          <w:rFonts w:cs="Arial"/>
          <w:sz w:val="24"/>
          <w:szCs w:val="24"/>
        </w:rPr>
        <w:t xml:space="preserve"> Utilizar a chave de identificação e a senha de acesso para participar do pregão na forma eletrônica.</w:t>
      </w:r>
    </w:p>
    <w:p w:rsidR="007E1F5C" w:rsidRDefault="007E1F5C" w:rsidP="007E1F5C">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7E1F5C" w:rsidRDefault="007E1F5C" w:rsidP="007E1F5C">
      <w:pPr>
        <w:spacing w:line="360" w:lineRule="auto"/>
        <w:jc w:val="both"/>
        <w:rPr>
          <w:rFonts w:cs="Arial"/>
          <w:sz w:val="24"/>
          <w:szCs w:val="24"/>
        </w:rPr>
      </w:pPr>
    </w:p>
    <w:p w:rsidR="007E1F5C" w:rsidRDefault="007E1F5C" w:rsidP="007E1F5C">
      <w:pPr>
        <w:spacing w:line="360" w:lineRule="auto"/>
        <w:jc w:val="both"/>
        <w:rPr>
          <w:rFonts w:cs="Arial"/>
          <w:b/>
          <w:sz w:val="24"/>
          <w:szCs w:val="24"/>
        </w:rPr>
      </w:pPr>
      <w:r>
        <w:rPr>
          <w:rFonts w:cs="Arial"/>
          <w:b/>
          <w:sz w:val="24"/>
          <w:szCs w:val="24"/>
        </w:rPr>
        <w:t>3. ENVIO DAS PROPOSTAS</w:t>
      </w:r>
    </w:p>
    <w:p w:rsidR="007E1F5C" w:rsidRDefault="007E1F5C" w:rsidP="007E1F5C">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7E1F5C" w:rsidRDefault="007E1F5C" w:rsidP="007E1F5C">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7E1F5C" w:rsidRDefault="007E1F5C" w:rsidP="007E1F5C">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cs="Arial"/>
          <w:sz w:val="24"/>
          <w:szCs w:val="24"/>
        </w:rPr>
        <w:footnoteReference w:id="1"/>
      </w:r>
      <w:r>
        <w:rPr>
          <w:rFonts w:cs="Arial"/>
          <w:bCs/>
          <w:sz w:val="24"/>
          <w:szCs w:val="24"/>
        </w:rPr>
        <w:t>.</w:t>
      </w:r>
    </w:p>
    <w:p w:rsidR="007E1F5C" w:rsidRDefault="007E1F5C" w:rsidP="007E1F5C">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2"/>
      </w:r>
      <w:r>
        <w:rPr>
          <w:color w:val="auto"/>
        </w:rPr>
        <w:t>.</w:t>
      </w:r>
    </w:p>
    <w:p w:rsidR="007E1F5C" w:rsidRDefault="007E1F5C" w:rsidP="007E1F5C">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7E1F5C" w:rsidRDefault="007E1F5C" w:rsidP="007E1F5C">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7E1F5C" w:rsidRDefault="007E1F5C" w:rsidP="007E1F5C">
      <w:pPr>
        <w:pStyle w:val="Default"/>
        <w:spacing w:line="360" w:lineRule="auto"/>
        <w:jc w:val="both"/>
        <w:rPr>
          <w:color w:val="auto"/>
        </w:rPr>
      </w:pPr>
      <w:r>
        <w:rPr>
          <w:b/>
          <w:bCs/>
          <w:color w:val="auto"/>
        </w:rPr>
        <w:lastRenderedPageBreak/>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7E1F5C" w:rsidRDefault="007E1F5C" w:rsidP="007E1F5C">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7E1F5C" w:rsidRDefault="007E1F5C" w:rsidP="007E1F5C">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7E1F5C" w:rsidRDefault="007E1F5C" w:rsidP="007E1F5C">
      <w:pPr>
        <w:spacing w:line="360" w:lineRule="auto"/>
        <w:jc w:val="both"/>
        <w:rPr>
          <w:rFonts w:cs="Arial"/>
          <w:b/>
          <w:sz w:val="24"/>
          <w:szCs w:val="24"/>
        </w:rPr>
      </w:pPr>
    </w:p>
    <w:p w:rsidR="007E1F5C" w:rsidRDefault="007E1F5C" w:rsidP="007E1F5C">
      <w:pPr>
        <w:spacing w:line="360" w:lineRule="auto"/>
        <w:jc w:val="both"/>
        <w:rPr>
          <w:rFonts w:cs="Arial"/>
          <w:b/>
          <w:sz w:val="24"/>
          <w:szCs w:val="24"/>
        </w:rPr>
      </w:pPr>
    </w:p>
    <w:p w:rsidR="007E1F5C" w:rsidRDefault="007E1F5C" w:rsidP="007E1F5C">
      <w:pPr>
        <w:spacing w:line="360" w:lineRule="auto"/>
        <w:jc w:val="both"/>
        <w:rPr>
          <w:rFonts w:cs="Arial"/>
          <w:b/>
          <w:sz w:val="24"/>
          <w:szCs w:val="24"/>
        </w:rPr>
      </w:pPr>
      <w:r>
        <w:rPr>
          <w:rFonts w:cs="Arial"/>
          <w:b/>
          <w:sz w:val="24"/>
          <w:szCs w:val="24"/>
        </w:rPr>
        <w:t>4. PROPOSTA</w:t>
      </w:r>
    </w:p>
    <w:p w:rsidR="007E1F5C" w:rsidRDefault="007E1F5C" w:rsidP="007E1F5C">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(sessenta) dias úteis, a contar da data de abertura da sessão do pregão, estabelecida no preâmbulo desse edital.</w:t>
      </w:r>
    </w:p>
    <w:p w:rsidR="007E1F5C" w:rsidRDefault="007E1F5C" w:rsidP="007E1F5C">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7E1F5C" w:rsidRDefault="007E1F5C" w:rsidP="007E1F5C">
      <w:pPr>
        <w:spacing w:line="360" w:lineRule="auto"/>
        <w:jc w:val="both"/>
        <w:rPr>
          <w:rFonts w:cs="Arial"/>
          <w:bCs/>
          <w:sz w:val="24"/>
          <w:szCs w:val="24"/>
        </w:rPr>
      </w:pPr>
      <w:r>
        <w:rPr>
          <w:rFonts w:cs="Arial"/>
          <w:b/>
          <w:sz w:val="24"/>
          <w:szCs w:val="24"/>
        </w:rPr>
        <w:t xml:space="preserve">4.3. </w:t>
      </w:r>
      <w:r>
        <w:rPr>
          <w:rFonts w:cs="Arial"/>
          <w:bCs/>
          <w:sz w:val="24"/>
          <w:szCs w:val="24"/>
        </w:rPr>
        <w:t xml:space="preserve">Qualquer elemento que possa identificar o licitante importará na desclassificação da proposta, razão pela qual os licitantes não poderão encaminhar documentos com timbre ou logomarca da empresa, assinatura ou </w:t>
      </w:r>
      <w:r>
        <w:rPr>
          <w:rFonts w:cs="Arial"/>
          <w:bCs/>
          <w:sz w:val="24"/>
          <w:szCs w:val="24"/>
        </w:rPr>
        <w:lastRenderedPageBreak/>
        <w:t>carimbo de sócios ou outra informação que possa levar a sua identificação, até que se encerre a etapa de lances.</w:t>
      </w:r>
    </w:p>
    <w:p w:rsidR="007E1F5C" w:rsidRDefault="007E1F5C" w:rsidP="007E1F5C">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7E1F5C" w:rsidRDefault="007E1F5C" w:rsidP="007E1F5C">
      <w:pPr>
        <w:spacing w:line="360" w:lineRule="auto"/>
        <w:jc w:val="both"/>
        <w:rPr>
          <w:rFonts w:cs="Arial"/>
          <w:bCs/>
          <w:sz w:val="24"/>
          <w:szCs w:val="24"/>
        </w:rPr>
      </w:pPr>
    </w:p>
    <w:p w:rsidR="007E1F5C" w:rsidRDefault="007E1F5C" w:rsidP="007E1F5C">
      <w:pPr>
        <w:spacing w:line="360" w:lineRule="auto"/>
        <w:jc w:val="both"/>
        <w:rPr>
          <w:rFonts w:cs="Arial"/>
          <w:b/>
          <w:sz w:val="24"/>
          <w:szCs w:val="24"/>
        </w:rPr>
      </w:pPr>
      <w:r>
        <w:rPr>
          <w:rFonts w:cs="Arial"/>
          <w:b/>
          <w:sz w:val="24"/>
          <w:szCs w:val="24"/>
        </w:rPr>
        <w:t>5. DOCUMENTOS DE HABILITAÇÃO</w:t>
      </w:r>
    </w:p>
    <w:p w:rsidR="007E1F5C" w:rsidRDefault="007E1F5C" w:rsidP="007E1F5C">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7E1F5C" w:rsidRDefault="007E1F5C" w:rsidP="007E1F5C">
      <w:pPr>
        <w:tabs>
          <w:tab w:val="left" w:pos="1134"/>
        </w:tabs>
        <w:spacing w:line="360" w:lineRule="auto"/>
        <w:jc w:val="both"/>
        <w:rPr>
          <w:rFonts w:cs="Arial"/>
          <w:sz w:val="24"/>
          <w:szCs w:val="24"/>
        </w:rPr>
      </w:pPr>
    </w:p>
    <w:p w:rsidR="007E1F5C" w:rsidRDefault="007E1F5C" w:rsidP="007E1F5C">
      <w:pPr>
        <w:tabs>
          <w:tab w:val="left" w:pos="1134"/>
        </w:tabs>
        <w:spacing w:line="360" w:lineRule="auto"/>
        <w:jc w:val="both"/>
        <w:rPr>
          <w:rFonts w:cs="Arial"/>
          <w:b/>
          <w:sz w:val="24"/>
          <w:szCs w:val="24"/>
        </w:rPr>
      </w:pPr>
      <w:r>
        <w:rPr>
          <w:rFonts w:cs="Arial"/>
          <w:b/>
          <w:sz w:val="24"/>
          <w:szCs w:val="24"/>
        </w:rPr>
        <w:t>5.1. HABILITAÇÃO JURÍDICA</w:t>
      </w:r>
    </w:p>
    <w:p w:rsidR="007E1F5C" w:rsidRDefault="007E1F5C" w:rsidP="007E1F5C">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7E1F5C" w:rsidRDefault="007E1F5C" w:rsidP="007E1F5C">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7E1F5C" w:rsidRDefault="007E1F5C" w:rsidP="007E1F5C">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7E1F5C" w:rsidRDefault="007E1F5C" w:rsidP="007E1F5C">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7E1F5C" w:rsidRDefault="007E1F5C" w:rsidP="007E1F5C">
      <w:pPr>
        <w:tabs>
          <w:tab w:val="left" w:pos="1134"/>
        </w:tabs>
        <w:spacing w:line="360" w:lineRule="auto"/>
        <w:jc w:val="both"/>
        <w:rPr>
          <w:rFonts w:cs="Arial"/>
          <w:b/>
          <w:sz w:val="24"/>
          <w:szCs w:val="24"/>
        </w:rPr>
      </w:pPr>
    </w:p>
    <w:p w:rsidR="007E1F5C" w:rsidRDefault="007E1F5C" w:rsidP="007E1F5C">
      <w:pPr>
        <w:tabs>
          <w:tab w:val="left" w:pos="1134"/>
        </w:tabs>
        <w:spacing w:line="360" w:lineRule="auto"/>
        <w:jc w:val="both"/>
        <w:rPr>
          <w:rFonts w:cs="Arial"/>
          <w:b/>
          <w:sz w:val="24"/>
          <w:szCs w:val="24"/>
        </w:rPr>
      </w:pPr>
      <w:r>
        <w:rPr>
          <w:rFonts w:cs="Arial"/>
          <w:b/>
          <w:sz w:val="24"/>
          <w:szCs w:val="24"/>
        </w:rPr>
        <w:t>5.2. HABILITAÇÃO FISCAL, SOCIAL E TRABALHISTA</w:t>
      </w:r>
    </w:p>
    <w:p w:rsidR="007E1F5C" w:rsidRDefault="007E1F5C" w:rsidP="007E1F5C">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AA566B" w:rsidRDefault="007E1F5C" w:rsidP="007E1F5C">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lastRenderedPageBreak/>
        <w:t>b)</w:t>
      </w:r>
      <w:r>
        <w:rPr>
          <w:rFonts w:ascii="Arial" w:hAnsi="Arial" w:cs="Arial"/>
        </w:rPr>
        <w:t xml:space="preserve"> prova de regularidade perante a Fazenda federal, estadual e/ou municipal do domicílio ou sede do licitante, e</w:t>
      </w:r>
      <w:r w:rsidR="00AA566B">
        <w:rPr>
          <w:rFonts w:ascii="Arial" w:hAnsi="Arial" w:cs="Arial"/>
        </w:rPr>
        <w:t>;</w:t>
      </w:r>
    </w:p>
    <w:p w:rsidR="007E1F5C" w:rsidRDefault="00AA566B" w:rsidP="007E1F5C">
      <w:pPr>
        <w:pStyle w:val="NormalWeb"/>
        <w:spacing w:before="0" w:beforeAutospacing="0" w:after="0" w:afterAutospacing="0" w:line="360" w:lineRule="auto"/>
        <w:jc w:val="both"/>
        <w:rPr>
          <w:rFonts w:ascii="Arial" w:hAnsi="Arial" w:cs="Arial"/>
        </w:rPr>
      </w:pPr>
      <w:r w:rsidRPr="00AA566B">
        <w:rPr>
          <w:rFonts w:ascii="Arial" w:hAnsi="Arial" w:cs="Arial"/>
          <w:b/>
        </w:rPr>
        <w:t>c)</w:t>
      </w:r>
      <w:r>
        <w:rPr>
          <w:rFonts w:ascii="Arial" w:hAnsi="Arial" w:cs="Arial"/>
        </w:rPr>
        <w:t xml:space="preserve"> Certidão Negativa</w:t>
      </w:r>
      <w:r w:rsidR="007E1F5C">
        <w:rPr>
          <w:rFonts w:ascii="Arial" w:hAnsi="Arial" w:cs="Arial"/>
        </w:rPr>
        <w:t xml:space="preserve"> o Município de Santo Antônio das Missões-RS, nos termos do art. 193 do Código Tributário Nacional, ou outra equivalente, na forma da lei;</w:t>
      </w:r>
      <w:r>
        <w:rPr>
          <w:rFonts w:ascii="Arial" w:hAnsi="Arial" w:cs="Arial"/>
        </w:rPr>
        <w:t xml:space="preserve"> ( solicitação via </w:t>
      </w:r>
      <w:proofErr w:type="spellStart"/>
      <w:r>
        <w:rPr>
          <w:rFonts w:ascii="Arial" w:hAnsi="Arial" w:cs="Arial"/>
        </w:rPr>
        <w:t>email</w:t>
      </w:r>
      <w:proofErr w:type="spellEnd"/>
      <w:r>
        <w:rPr>
          <w:rFonts w:ascii="Arial" w:hAnsi="Arial" w:cs="Arial"/>
        </w:rPr>
        <w:t xml:space="preserve">: </w:t>
      </w:r>
      <w:hyperlink r:id="rId7" w:history="1">
        <w:r w:rsidR="00044365" w:rsidRPr="008B3C75">
          <w:rPr>
            <w:rStyle w:val="Hyperlink"/>
            <w:rFonts w:ascii="Arial" w:hAnsi="Arial" w:cs="Arial"/>
          </w:rPr>
          <w:t>protocolo@santoantoniomissoes@rs.gov.br</w:t>
        </w:r>
      </w:hyperlink>
      <w:r w:rsidR="00044365">
        <w:rPr>
          <w:rFonts w:ascii="Arial" w:hAnsi="Arial" w:cs="Arial"/>
        </w:rPr>
        <w:t xml:space="preserve"> )</w:t>
      </w:r>
    </w:p>
    <w:p w:rsidR="007E1F5C" w:rsidRDefault="00AA566B" w:rsidP="007E1F5C">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sidR="007E1F5C">
        <w:rPr>
          <w:rFonts w:ascii="Arial" w:hAnsi="Arial" w:cs="Arial"/>
          <w:b/>
          <w:bCs/>
        </w:rPr>
        <w:t>)</w:t>
      </w:r>
      <w:r w:rsidR="007E1F5C">
        <w:rPr>
          <w:rFonts w:ascii="Arial" w:hAnsi="Arial" w:cs="Arial"/>
        </w:rPr>
        <w:t xml:space="preserve"> prova de regularidade relativa à Seguridade Social e ao FGTS, que demonstre cumprimento dos encargos sociais instituídos por lei;</w:t>
      </w:r>
    </w:p>
    <w:p w:rsidR="007E1F5C" w:rsidRDefault="00AA566B" w:rsidP="007E1F5C">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sidR="007E1F5C">
        <w:rPr>
          <w:rFonts w:ascii="Arial" w:hAnsi="Arial" w:cs="Arial"/>
          <w:b/>
          <w:bCs/>
        </w:rPr>
        <w:t>)</w:t>
      </w:r>
      <w:r w:rsidR="007E1F5C">
        <w:rPr>
          <w:rFonts w:ascii="Arial" w:hAnsi="Arial" w:cs="Arial"/>
        </w:rPr>
        <w:t xml:space="preserve"> prova de regularidade perante a Justiça do Trabalho</w:t>
      </w:r>
      <w:bookmarkStart w:id="6" w:name="art68vi"/>
      <w:bookmarkEnd w:id="6"/>
      <w:r w:rsidR="007E1F5C">
        <w:rPr>
          <w:rFonts w:ascii="Arial" w:hAnsi="Arial" w:cs="Arial"/>
        </w:rPr>
        <w:t>.</w:t>
      </w:r>
    </w:p>
    <w:p w:rsidR="007E1F5C" w:rsidRDefault="007E1F5C" w:rsidP="007E1F5C">
      <w:pPr>
        <w:pStyle w:val="NormalWeb"/>
        <w:spacing w:before="0" w:beforeAutospacing="0" w:after="0" w:afterAutospacing="0" w:line="360" w:lineRule="auto"/>
        <w:jc w:val="both"/>
        <w:rPr>
          <w:rFonts w:ascii="Arial" w:hAnsi="Arial" w:cs="Arial"/>
        </w:rPr>
      </w:pPr>
    </w:p>
    <w:p w:rsidR="007E1F5C" w:rsidRDefault="007E1F5C" w:rsidP="007E1F5C">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7E1F5C" w:rsidRDefault="007E1F5C" w:rsidP="007E1F5C">
      <w:pPr>
        <w:spacing w:line="360" w:lineRule="auto"/>
        <w:jc w:val="both"/>
        <w:rPr>
          <w:rFonts w:cs="Arial"/>
          <w:b/>
          <w:sz w:val="24"/>
          <w:szCs w:val="24"/>
        </w:rPr>
      </w:pPr>
      <w:bookmarkStart w:id="8" w:name="_Hlk508883518"/>
      <w:r>
        <w:rPr>
          <w:rFonts w:cs="Arial"/>
          <w:b/>
          <w:sz w:val="24"/>
          <w:szCs w:val="24"/>
        </w:rPr>
        <w:t>a)</w:t>
      </w:r>
      <w:r>
        <w:rPr>
          <w:rFonts w:cs="Arial"/>
          <w:sz w:val="24"/>
          <w:szCs w:val="24"/>
        </w:rPr>
        <w:t xml:space="preserve"> certidão negativa de falência expedida pelo distribuidor da sede da pessoa jurídica, em prazo não superior a 60 dias da data designada para a apresentação do documento;</w:t>
      </w:r>
    </w:p>
    <w:bookmarkEnd w:id="8"/>
    <w:p w:rsidR="007E1F5C" w:rsidRDefault="007E1F5C" w:rsidP="007E1F5C">
      <w:pPr>
        <w:spacing w:line="360" w:lineRule="auto"/>
        <w:jc w:val="both"/>
        <w:rPr>
          <w:rFonts w:cs="Arial"/>
          <w:b/>
          <w:sz w:val="24"/>
          <w:szCs w:val="24"/>
        </w:rPr>
      </w:pPr>
    </w:p>
    <w:p w:rsidR="007E1F5C" w:rsidRDefault="007E1F5C" w:rsidP="007E1F5C">
      <w:pPr>
        <w:spacing w:line="360" w:lineRule="auto"/>
        <w:jc w:val="both"/>
        <w:rPr>
          <w:rFonts w:cs="Arial"/>
          <w:b/>
          <w:sz w:val="24"/>
          <w:szCs w:val="24"/>
        </w:rPr>
      </w:pPr>
      <w:r>
        <w:rPr>
          <w:rFonts w:cs="Arial"/>
          <w:b/>
          <w:sz w:val="24"/>
          <w:szCs w:val="24"/>
        </w:rPr>
        <w:t>6. VEDAÇÕES</w:t>
      </w:r>
    </w:p>
    <w:p w:rsidR="007E1F5C" w:rsidRDefault="007E1F5C" w:rsidP="007E1F5C">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7E1F5C" w:rsidRDefault="007E1F5C" w:rsidP="007E1F5C">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7E1F5C" w:rsidRDefault="007E1F5C" w:rsidP="007E1F5C">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7E1F5C" w:rsidRDefault="007E1F5C" w:rsidP="007E1F5C">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8" w:history="1">
        <w:r>
          <w:rPr>
            <w:rStyle w:val="Hyperlink"/>
            <w:rFonts w:ascii="Arial" w:hAnsi="Arial" w:cs="Arial"/>
          </w:rPr>
          <w:t>Lei nº 6.404, de 15 de dezembro de 1976</w:t>
        </w:r>
      </w:hyperlink>
      <w:r>
        <w:rPr>
          <w:rFonts w:ascii="Arial" w:hAnsi="Arial" w:cs="Arial"/>
        </w:rPr>
        <w:t>, concorrendo entre si;</w:t>
      </w:r>
    </w:p>
    <w:p w:rsidR="007E1F5C" w:rsidRDefault="007E1F5C" w:rsidP="007E1F5C">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lastRenderedPageBreak/>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7E1F5C" w:rsidRDefault="007E1F5C" w:rsidP="007E1F5C">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rPr>
        <w:footnoteReference w:id="4"/>
      </w:r>
    </w:p>
    <w:p w:rsidR="007E1F5C" w:rsidRDefault="007E1F5C" w:rsidP="007E1F5C">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7E1F5C" w:rsidRDefault="007E1F5C" w:rsidP="007E1F5C">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5"/>
      </w:r>
      <w:r>
        <w:rPr>
          <w:rFonts w:cs="Arial"/>
          <w:sz w:val="24"/>
          <w:szCs w:val="24"/>
        </w:rPr>
        <w:t>.</w:t>
      </w:r>
    </w:p>
    <w:p w:rsidR="007E1F5C" w:rsidRDefault="007E1F5C" w:rsidP="007E1F5C">
      <w:pPr>
        <w:tabs>
          <w:tab w:val="left" w:pos="1134"/>
        </w:tabs>
        <w:spacing w:line="360" w:lineRule="auto"/>
        <w:jc w:val="both"/>
        <w:rPr>
          <w:rFonts w:cs="Arial"/>
          <w:sz w:val="24"/>
          <w:szCs w:val="24"/>
        </w:rPr>
      </w:pPr>
    </w:p>
    <w:p w:rsidR="007E1F5C" w:rsidRDefault="007E1F5C" w:rsidP="007E1F5C">
      <w:pPr>
        <w:spacing w:line="360" w:lineRule="auto"/>
        <w:jc w:val="both"/>
        <w:rPr>
          <w:rFonts w:cs="Arial"/>
          <w:b/>
          <w:sz w:val="24"/>
          <w:szCs w:val="24"/>
        </w:rPr>
      </w:pPr>
      <w:r>
        <w:rPr>
          <w:rFonts w:cs="Arial"/>
          <w:b/>
          <w:sz w:val="24"/>
          <w:szCs w:val="24"/>
        </w:rPr>
        <w:t>7. ABERTURA DA SESSÃO PÚBLICA</w:t>
      </w:r>
    </w:p>
    <w:p w:rsidR="007E1F5C" w:rsidRDefault="007E1F5C" w:rsidP="007E1F5C">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7E1F5C" w:rsidRDefault="007E1F5C" w:rsidP="007E1F5C">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 xml:space="preserve">da </w:t>
      </w:r>
      <w:r>
        <w:rPr>
          <w:rFonts w:cs="Arial"/>
          <w:sz w:val="24"/>
          <w:szCs w:val="24"/>
        </w:rPr>
        <w:lastRenderedPageBreak/>
        <w:t>inobservância de mensagens emitidas pelo sistema ou de sua desconexão, conforme item 2.3.2 deste Edital.</w:t>
      </w:r>
    </w:p>
    <w:p w:rsidR="007E1F5C" w:rsidRDefault="007E1F5C" w:rsidP="007E1F5C">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7E1F5C" w:rsidRDefault="007E1F5C" w:rsidP="007E1F5C">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7E1F5C" w:rsidRDefault="007E1F5C" w:rsidP="007E1F5C">
      <w:pPr>
        <w:tabs>
          <w:tab w:val="left" w:pos="1134"/>
        </w:tabs>
        <w:spacing w:line="360" w:lineRule="auto"/>
        <w:jc w:val="both"/>
        <w:rPr>
          <w:rFonts w:cs="Arial"/>
          <w:bCs/>
          <w:sz w:val="24"/>
          <w:szCs w:val="24"/>
        </w:rPr>
      </w:pPr>
    </w:p>
    <w:p w:rsidR="007E1F5C" w:rsidRDefault="007E1F5C" w:rsidP="007E1F5C">
      <w:pPr>
        <w:spacing w:line="360" w:lineRule="auto"/>
        <w:jc w:val="both"/>
        <w:rPr>
          <w:rFonts w:cs="Arial"/>
          <w:b/>
          <w:sz w:val="24"/>
          <w:szCs w:val="24"/>
        </w:rPr>
      </w:pPr>
      <w:r>
        <w:rPr>
          <w:rFonts w:cs="Arial"/>
          <w:b/>
          <w:sz w:val="24"/>
          <w:szCs w:val="24"/>
        </w:rPr>
        <w:t>8. CLASSIFICAÇÃO INICIAL DAS PROPOSTAS E FORMULAÇÃO DE LANCES</w:t>
      </w:r>
    </w:p>
    <w:p w:rsidR="007E1F5C" w:rsidRDefault="007E1F5C" w:rsidP="007E1F5C">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7E1F5C" w:rsidRDefault="007E1F5C" w:rsidP="007E1F5C">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7E1F5C" w:rsidRDefault="007E1F5C" w:rsidP="007E1F5C">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7E1F5C" w:rsidRDefault="007E1F5C" w:rsidP="007E1F5C">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7E1F5C" w:rsidRDefault="007E1F5C" w:rsidP="007E1F5C">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7E1F5C" w:rsidRDefault="007E1F5C" w:rsidP="007E1F5C">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7E1F5C" w:rsidRDefault="007E1F5C" w:rsidP="007E1F5C">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7E1F5C" w:rsidRDefault="007E1F5C" w:rsidP="007E1F5C">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7E1F5C" w:rsidRDefault="007E1F5C" w:rsidP="007E1F5C">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7E1F5C" w:rsidRDefault="007E1F5C" w:rsidP="007E1F5C">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7E1F5C" w:rsidRDefault="007E1F5C" w:rsidP="007E1F5C">
      <w:pPr>
        <w:tabs>
          <w:tab w:val="left" w:pos="1134"/>
        </w:tabs>
        <w:spacing w:line="360" w:lineRule="auto"/>
        <w:jc w:val="both"/>
        <w:rPr>
          <w:rFonts w:cs="Arial"/>
          <w:bCs/>
          <w:sz w:val="24"/>
          <w:szCs w:val="24"/>
        </w:rPr>
      </w:pPr>
      <w:r>
        <w:rPr>
          <w:rFonts w:cs="Arial"/>
          <w:b/>
          <w:sz w:val="24"/>
          <w:szCs w:val="24"/>
        </w:rPr>
        <w:lastRenderedPageBreak/>
        <w:t xml:space="preserve">8.6. </w:t>
      </w:r>
      <w:r>
        <w:rPr>
          <w:rFonts w:cs="Arial"/>
          <w:bCs/>
          <w:sz w:val="24"/>
          <w:szCs w:val="24"/>
        </w:rPr>
        <w:t>Somente poderão participar da fase competitiva os autores das propostas classificadas.</w:t>
      </w:r>
    </w:p>
    <w:p w:rsidR="007E1F5C" w:rsidRDefault="007E1F5C" w:rsidP="007E1F5C">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7E1F5C" w:rsidRDefault="007E1F5C" w:rsidP="007E1F5C">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7E1F5C" w:rsidRDefault="007E1F5C" w:rsidP="007E1F5C">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7E1F5C" w:rsidRDefault="007E1F5C" w:rsidP="007E1F5C">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7E1F5C" w:rsidRDefault="007E1F5C" w:rsidP="007E1F5C">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w:t>
      </w:r>
      <w:r w:rsidR="00044365">
        <w:rPr>
          <w:rFonts w:cs="Arial"/>
          <w:sz w:val="24"/>
          <w:szCs w:val="24"/>
        </w:rPr>
        <w:t>res entre os lances será de R$ 0,5</w:t>
      </w:r>
      <w:r>
        <w:rPr>
          <w:rFonts w:cs="Arial"/>
          <w:sz w:val="24"/>
          <w:szCs w:val="24"/>
        </w:rPr>
        <w:t xml:space="preserve">0 </w:t>
      </w:r>
      <w:proofErr w:type="gramStart"/>
      <w:r>
        <w:rPr>
          <w:rFonts w:cs="Arial"/>
          <w:sz w:val="24"/>
          <w:szCs w:val="24"/>
        </w:rPr>
        <w:t xml:space="preserve">( </w:t>
      </w:r>
      <w:r w:rsidR="00044365">
        <w:rPr>
          <w:rFonts w:cs="Arial"/>
          <w:sz w:val="24"/>
          <w:szCs w:val="24"/>
        </w:rPr>
        <w:t>cinquenta</w:t>
      </w:r>
      <w:proofErr w:type="gramEnd"/>
      <w:r w:rsidR="00044365">
        <w:rPr>
          <w:rFonts w:cs="Arial"/>
          <w:sz w:val="24"/>
          <w:szCs w:val="24"/>
        </w:rPr>
        <w:t xml:space="preserve"> centavos</w:t>
      </w:r>
      <w:r>
        <w:rPr>
          <w:rFonts w:cs="Arial"/>
          <w:sz w:val="24"/>
          <w:szCs w:val="24"/>
        </w:rPr>
        <w:t xml:space="preserve"> ), que incidirá tanto em relação aos lances intermediários, quanto em relação do lance que cobrir a melhor oferta.</w:t>
      </w:r>
    </w:p>
    <w:p w:rsidR="007E1F5C" w:rsidRDefault="007E1F5C" w:rsidP="007E1F5C">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7E1F5C" w:rsidRDefault="007E1F5C" w:rsidP="007E1F5C">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7E1F5C" w:rsidRDefault="007E1F5C" w:rsidP="007E1F5C">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7E1F5C" w:rsidRDefault="007E1F5C" w:rsidP="007E1F5C">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7E1F5C" w:rsidRDefault="007E1F5C" w:rsidP="007E1F5C">
      <w:pPr>
        <w:pStyle w:val="NormalWeb"/>
        <w:spacing w:before="0" w:beforeAutospacing="0" w:after="0" w:afterAutospacing="0" w:line="360" w:lineRule="auto"/>
        <w:jc w:val="both"/>
        <w:rPr>
          <w:rFonts w:ascii="Arial" w:hAnsi="Arial" w:cs="Arial"/>
          <w:b/>
          <w:sz w:val="22"/>
          <w:szCs w:val="22"/>
        </w:rPr>
      </w:pPr>
    </w:p>
    <w:p w:rsidR="007E1F5C" w:rsidRDefault="007E1F5C" w:rsidP="007E1F5C">
      <w:pPr>
        <w:tabs>
          <w:tab w:val="left" w:pos="1134"/>
        </w:tabs>
        <w:spacing w:line="360" w:lineRule="auto"/>
        <w:jc w:val="both"/>
        <w:rPr>
          <w:rFonts w:cs="Arial"/>
          <w:b/>
          <w:sz w:val="24"/>
          <w:szCs w:val="24"/>
        </w:rPr>
      </w:pPr>
      <w:r>
        <w:rPr>
          <w:rFonts w:cs="Arial"/>
          <w:b/>
          <w:sz w:val="24"/>
          <w:szCs w:val="24"/>
        </w:rPr>
        <w:t>9. MODO DE DISPUTA</w:t>
      </w:r>
    </w:p>
    <w:p w:rsidR="007E1F5C" w:rsidRDefault="007E1F5C" w:rsidP="007E1F5C">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7E1F5C" w:rsidRDefault="007E1F5C" w:rsidP="007E1F5C">
      <w:pPr>
        <w:spacing w:line="360" w:lineRule="auto"/>
        <w:jc w:val="both"/>
        <w:rPr>
          <w:rFonts w:cs="Arial"/>
          <w:sz w:val="24"/>
          <w:szCs w:val="24"/>
        </w:rPr>
      </w:pPr>
      <w:r>
        <w:rPr>
          <w:rFonts w:cs="Arial"/>
          <w:b/>
          <w:sz w:val="24"/>
          <w:szCs w:val="24"/>
        </w:rPr>
        <w:lastRenderedPageBreak/>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7E1F5C" w:rsidRDefault="007E1F5C" w:rsidP="007E1F5C">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7E1F5C" w:rsidRDefault="007E1F5C" w:rsidP="007E1F5C">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7E1F5C" w:rsidRDefault="007E1F5C" w:rsidP="007E1F5C">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7E1F5C" w:rsidRDefault="007E1F5C" w:rsidP="007E1F5C">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7E1F5C" w:rsidRDefault="007E1F5C" w:rsidP="007E1F5C">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7E1F5C" w:rsidRDefault="007E1F5C" w:rsidP="007E1F5C">
      <w:pPr>
        <w:tabs>
          <w:tab w:val="left" w:pos="1134"/>
        </w:tabs>
        <w:spacing w:line="360" w:lineRule="auto"/>
        <w:jc w:val="both"/>
        <w:rPr>
          <w:rFonts w:cs="Arial"/>
          <w:sz w:val="24"/>
          <w:szCs w:val="24"/>
        </w:rPr>
      </w:pPr>
    </w:p>
    <w:p w:rsidR="007E1F5C" w:rsidRDefault="007E1F5C" w:rsidP="007E1F5C">
      <w:pPr>
        <w:tabs>
          <w:tab w:val="left" w:pos="1134"/>
        </w:tabs>
        <w:spacing w:line="360" w:lineRule="auto"/>
        <w:jc w:val="both"/>
        <w:rPr>
          <w:rFonts w:cs="Arial"/>
          <w:b/>
          <w:sz w:val="24"/>
          <w:szCs w:val="24"/>
        </w:rPr>
      </w:pPr>
      <w:r>
        <w:rPr>
          <w:rFonts w:cs="Arial"/>
          <w:b/>
          <w:sz w:val="24"/>
          <w:szCs w:val="24"/>
        </w:rPr>
        <w:t>10. CRITÉRIOS DE DESEMPATE</w:t>
      </w:r>
    </w:p>
    <w:p w:rsidR="007E1F5C" w:rsidRDefault="007E1F5C" w:rsidP="007E1F5C">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7E1F5C" w:rsidRDefault="007E1F5C" w:rsidP="007E1F5C">
      <w:pPr>
        <w:tabs>
          <w:tab w:val="left" w:pos="1134"/>
        </w:tabs>
        <w:spacing w:line="360" w:lineRule="auto"/>
        <w:jc w:val="both"/>
        <w:rPr>
          <w:rFonts w:cs="Arial"/>
          <w:sz w:val="24"/>
          <w:szCs w:val="24"/>
        </w:rPr>
      </w:pPr>
      <w:r>
        <w:rPr>
          <w:rFonts w:cs="Arial"/>
          <w:b/>
          <w:bCs/>
          <w:sz w:val="24"/>
          <w:szCs w:val="24"/>
        </w:rPr>
        <w:lastRenderedPageBreak/>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7E1F5C" w:rsidRDefault="007E1F5C" w:rsidP="007E1F5C">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7E1F5C" w:rsidRDefault="007E1F5C" w:rsidP="007E1F5C">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7E1F5C" w:rsidRDefault="007E1F5C" w:rsidP="007E1F5C">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7E1F5C" w:rsidRDefault="007E1F5C" w:rsidP="007E1F5C">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7E1F5C" w:rsidRDefault="007E1F5C" w:rsidP="007E1F5C">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6"/>
      </w:r>
      <w:r>
        <w:rPr>
          <w:rFonts w:ascii="Arial" w:hAnsi="Arial" w:cs="Arial"/>
        </w:rPr>
        <w:t>:</w:t>
      </w:r>
    </w:p>
    <w:p w:rsidR="007E1F5C" w:rsidRDefault="007E1F5C" w:rsidP="007E1F5C">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7E1F5C" w:rsidRDefault="007E1F5C" w:rsidP="007E1F5C">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7E1F5C" w:rsidRDefault="007E1F5C" w:rsidP="007E1F5C">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7E1F5C" w:rsidRDefault="007E1F5C" w:rsidP="007E1F5C">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7E1F5C" w:rsidRDefault="007E1F5C" w:rsidP="007E1F5C">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lastRenderedPageBreak/>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7E1F5C" w:rsidRDefault="007E1F5C" w:rsidP="007E1F5C">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w:t>
      </w:r>
    </w:p>
    <w:p w:rsidR="007E1F5C" w:rsidRDefault="007E1F5C" w:rsidP="007E1F5C">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7E1F5C" w:rsidRDefault="007E1F5C" w:rsidP="007E1F5C">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7E1F5C" w:rsidRDefault="007E1F5C" w:rsidP="007E1F5C">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9" w:history="1">
        <w:r>
          <w:rPr>
            <w:rStyle w:val="Hyperlink"/>
            <w:rFonts w:ascii="Arial" w:hAnsi="Arial" w:cs="Arial"/>
          </w:rPr>
          <w:t>Lei nº 12.187, de 29 de dezembro de 2009.</w:t>
        </w:r>
      </w:hyperlink>
    </w:p>
    <w:p w:rsidR="007E1F5C" w:rsidRDefault="007E1F5C" w:rsidP="007E1F5C">
      <w:pPr>
        <w:tabs>
          <w:tab w:val="left" w:pos="1134"/>
        </w:tabs>
        <w:spacing w:line="360" w:lineRule="auto"/>
        <w:jc w:val="both"/>
        <w:rPr>
          <w:rFonts w:cs="Arial"/>
          <w:b/>
          <w:sz w:val="24"/>
          <w:szCs w:val="24"/>
        </w:rPr>
      </w:pPr>
    </w:p>
    <w:p w:rsidR="007E1F5C" w:rsidRDefault="007E1F5C" w:rsidP="007E1F5C">
      <w:pPr>
        <w:tabs>
          <w:tab w:val="left" w:pos="1134"/>
        </w:tabs>
        <w:spacing w:line="360" w:lineRule="auto"/>
        <w:jc w:val="both"/>
        <w:rPr>
          <w:rFonts w:cs="Arial"/>
          <w:b/>
          <w:sz w:val="24"/>
          <w:szCs w:val="24"/>
        </w:rPr>
      </w:pPr>
      <w:r>
        <w:rPr>
          <w:rFonts w:cs="Arial"/>
          <w:b/>
          <w:sz w:val="24"/>
          <w:szCs w:val="24"/>
        </w:rPr>
        <w:t>11. NEGOCIAÇÃO E JULGAMENTO</w:t>
      </w:r>
    </w:p>
    <w:p w:rsidR="007E1F5C" w:rsidRDefault="007E1F5C" w:rsidP="007E1F5C">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7E1F5C" w:rsidRDefault="007E1F5C" w:rsidP="007E1F5C">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7E1F5C" w:rsidRDefault="007E1F5C" w:rsidP="007E1F5C">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7E1F5C" w:rsidRDefault="007E1F5C" w:rsidP="007E1F5C">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7E1F5C" w:rsidRDefault="007E1F5C" w:rsidP="007E1F5C">
      <w:pPr>
        <w:spacing w:line="360" w:lineRule="auto"/>
        <w:jc w:val="both"/>
        <w:rPr>
          <w:rFonts w:cs="Arial"/>
          <w:sz w:val="24"/>
          <w:szCs w:val="24"/>
        </w:rPr>
      </w:pPr>
    </w:p>
    <w:p w:rsidR="007E1F5C" w:rsidRDefault="007E1F5C" w:rsidP="007E1F5C">
      <w:pPr>
        <w:tabs>
          <w:tab w:val="left" w:pos="1134"/>
        </w:tabs>
        <w:spacing w:line="360" w:lineRule="auto"/>
        <w:jc w:val="both"/>
        <w:rPr>
          <w:rFonts w:cs="Arial"/>
          <w:b/>
          <w:sz w:val="24"/>
          <w:szCs w:val="24"/>
        </w:rPr>
      </w:pPr>
      <w:r>
        <w:rPr>
          <w:rFonts w:cs="Arial"/>
          <w:b/>
          <w:sz w:val="24"/>
          <w:szCs w:val="24"/>
        </w:rPr>
        <w:t>12. VERIFICAÇÃO DA HABILITAÇÃO</w:t>
      </w:r>
    </w:p>
    <w:p w:rsidR="007E1F5C" w:rsidRDefault="007E1F5C" w:rsidP="007E1F5C">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7E1F5C" w:rsidRDefault="007E1F5C" w:rsidP="007E1F5C">
      <w:pPr>
        <w:pStyle w:val="Default"/>
        <w:spacing w:line="360" w:lineRule="auto"/>
        <w:jc w:val="both"/>
      </w:pPr>
      <w:r>
        <w:lastRenderedPageBreak/>
        <w:t>Após a entrega dos documentos para habilitação, não será permitida a substituição ou a apresentação de novos documentos, salvo em sede de diligência, para:</w:t>
      </w:r>
      <w:bookmarkStart w:id="29" w:name="art64i"/>
      <w:bookmarkEnd w:id="29"/>
    </w:p>
    <w:p w:rsidR="007E1F5C" w:rsidRDefault="007E1F5C" w:rsidP="007E1F5C">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7E1F5C" w:rsidRDefault="007E1F5C" w:rsidP="007E1F5C">
      <w:pPr>
        <w:pStyle w:val="Default"/>
        <w:spacing w:line="360" w:lineRule="auto"/>
        <w:jc w:val="both"/>
      </w:pPr>
      <w:r>
        <w:rPr>
          <w:b/>
          <w:bCs/>
        </w:rPr>
        <w:t>b)</w:t>
      </w:r>
      <w:r>
        <w:t xml:space="preserve"> atualização de documentos cuja validade tenha expirado após a data de recebimento das propostas.</w:t>
      </w:r>
    </w:p>
    <w:p w:rsidR="007E1F5C" w:rsidRDefault="007E1F5C" w:rsidP="007E1F5C">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7E1F5C" w:rsidRDefault="007E1F5C" w:rsidP="007E1F5C">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7E1F5C" w:rsidRDefault="007E1F5C" w:rsidP="007E1F5C">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7E1F5C" w:rsidRDefault="007E1F5C" w:rsidP="007E1F5C">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w:t>
      </w:r>
      <w:r>
        <w:rPr>
          <w:rFonts w:cs="Arial"/>
          <w:sz w:val="24"/>
          <w:szCs w:val="24"/>
        </w:rPr>
        <w:lastRenderedPageBreak/>
        <w:t xml:space="preserve">proposta, será concedido o prazo previsto no item 12.1 para o envio da documentação de habilitação. </w:t>
      </w:r>
    </w:p>
    <w:p w:rsidR="007E1F5C" w:rsidRDefault="007E1F5C" w:rsidP="007E1F5C">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7E1F5C" w:rsidRDefault="007E1F5C" w:rsidP="007E1F5C">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7E1F5C" w:rsidRDefault="007E1F5C" w:rsidP="007E1F5C">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7E1F5C" w:rsidRDefault="007E1F5C" w:rsidP="007E1F5C">
      <w:pPr>
        <w:spacing w:line="360" w:lineRule="auto"/>
        <w:jc w:val="both"/>
        <w:rPr>
          <w:rFonts w:cs="Arial"/>
          <w:b/>
          <w:bCs/>
          <w:sz w:val="24"/>
          <w:szCs w:val="24"/>
        </w:rPr>
      </w:pPr>
    </w:p>
    <w:p w:rsidR="007E1F5C" w:rsidRDefault="007E1F5C" w:rsidP="007E1F5C">
      <w:pPr>
        <w:tabs>
          <w:tab w:val="left" w:pos="1134"/>
        </w:tabs>
        <w:spacing w:line="360" w:lineRule="auto"/>
        <w:jc w:val="both"/>
        <w:rPr>
          <w:rFonts w:cs="Arial"/>
          <w:b/>
          <w:sz w:val="24"/>
          <w:szCs w:val="24"/>
        </w:rPr>
      </w:pPr>
      <w:r>
        <w:rPr>
          <w:rFonts w:cs="Arial"/>
          <w:b/>
          <w:sz w:val="24"/>
          <w:szCs w:val="24"/>
        </w:rPr>
        <w:t xml:space="preserve">13. DOS RECURSOS </w:t>
      </w:r>
    </w:p>
    <w:p w:rsidR="007E1F5C" w:rsidRDefault="007E1F5C" w:rsidP="007E1F5C">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7E1F5C" w:rsidRDefault="007E1F5C" w:rsidP="007E1F5C">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7E1F5C" w:rsidRDefault="007E1F5C" w:rsidP="007E1F5C">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7E1F5C" w:rsidRDefault="007E1F5C" w:rsidP="007E1F5C">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7E1F5C" w:rsidRDefault="007E1F5C" w:rsidP="007E1F5C">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7E1F5C" w:rsidRDefault="007E1F5C" w:rsidP="007E1F5C">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7E1F5C" w:rsidRDefault="007E1F5C" w:rsidP="007E1F5C">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7E1F5C" w:rsidRDefault="007E1F5C" w:rsidP="007E1F5C">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7E1F5C" w:rsidRDefault="007E1F5C" w:rsidP="007E1F5C">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7E1F5C" w:rsidRDefault="007E1F5C" w:rsidP="007E1F5C">
      <w:pPr>
        <w:pStyle w:val="NormalWeb"/>
        <w:spacing w:before="0" w:beforeAutospacing="0" w:after="0" w:afterAutospacing="0" w:line="360" w:lineRule="auto"/>
        <w:jc w:val="both"/>
        <w:rPr>
          <w:rFonts w:ascii="Arial" w:hAnsi="Arial" w:cs="Arial"/>
        </w:rPr>
      </w:pPr>
      <w:r>
        <w:rPr>
          <w:rFonts w:ascii="Arial" w:hAnsi="Arial" w:cs="Arial"/>
          <w:b/>
          <w:bCs/>
        </w:rPr>
        <w:lastRenderedPageBreak/>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7E1F5C" w:rsidRDefault="007E1F5C" w:rsidP="007E1F5C">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7E1F5C" w:rsidRDefault="007E1F5C" w:rsidP="007E1F5C">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7E1F5C" w:rsidRDefault="007E1F5C" w:rsidP="007E1F5C">
      <w:pPr>
        <w:pStyle w:val="NormalWeb"/>
        <w:spacing w:before="0" w:beforeAutospacing="0" w:after="0" w:afterAutospacing="0" w:line="360" w:lineRule="auto"/>
        <w:jc w:val="both"/>
        <w:rPr>
          <w:rFonts w:ascii="Arial" w:hAnsi="Arial" w:cs="Arial"/>
        </w:rPr>
      </w:pPr>
    </w:p>
    <w:p w:rsidR="007E1F5C" w:rsidRDefault="007E1F5C" w:rsidP="007E1F5C">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7E1F5C" w:rsidRDefault="007E1F5C" w:rsidP="007E1F5C">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7E1F5C" w:rsidRDefault="007E1F5C" w:rsidP="007E1F5C">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7E1F5C" w:rsidRDefault="007E1F5C" w:rsidP="007E1F5C">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7E1F5C" w:rsidRDefault="007E1F5C" w:rsidP="007E1F5C">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7E1F5C" w:rsidRDefault="007E1F5C" w:rsidP="007E1F5C">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7E1F5C" w:rsidRDefault="007E1F5C" w:rsidP="007E1F5C">
      <w:pPr>
        <w:tabs>
          <w:tab w:val="left" w:pos="1134"/>
        </w:tabs>
        <w:spacing w:line="360" w:lineRule="auto"/>
        <w:jc w:val="both"/>
        <w:rPr>
          <w:rFonts w:cs="Arial"/>
          <w:b/>
          <w:sz w:val="24"/>
          <w:szCs w:val="24"/>
        </w:rPr>
      </w:pPr>
      <w:bookmarkStart w:id="45" w:name="art71§1"/>
      <w:bookmarkEnd w:id="45"/>
    </w:p>
    <w:p w:rsidR="007E1F5C" w:rsidRDefault="007E1F5C" w:rsidP="007E1F5C">
      <w:pPr>
        <w:tabs>
          <w:tab w:val="left" w:pos="1134"/>
        </w:tabs>
        <w:spacing w:line="360" w:lineRule="auto"/>
        <w:jc w:val="both"/>
        <w:rPr>
          <w:rFonts w:cs="Arial"/>
          <w:b/>
          <w:sz w:val="24"/>
          <w:szCs w:val="24"/>
        </w:rPr>
      </w:pPr>
      <w:r>
        <w:rPr>
          <w:rFonts w:cs="Arial"/>
          <w:b/>
          <w:sz w:val="24"/>
          <w:szCs w:val="24"/>
        </w:rPr>
        <w:t>15. CONDIÇÕES DE CONTRATAÇÃO</w:t>
      </w:r>
    </w:p>
    <w:p w:rsidR="007E1F5C" w:rsidRDefault="007E1F5C" w:rsidP="007E1F5C">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7E1F5C" w:rsidRDefault="007E1F5C" w:rsidP="007E1F5C">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7E1F5C" w:rsidRDefault="007E1F5C" w:rsidP="007E1F5C">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lastRenderedPageBreak/>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7E1F5C" w:rsidRDefault="007E1F5C" w:rsidP="007E1F5C">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7E1F5C" w:rsidRDefault="007E1F5C" w:rsidP="007E1F5C">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7E1F5C" w:rsidRDefault="007E1F5C" w:rsidP="007E1F5C">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7E1F5C" w:rsidRDefault="007E1F5C" w:rsidP="007E1F5C">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7E1F5C" w:rsidRDefault="007E1F5C" w:rsidP="007E1F5C">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7E1F5C" w:rsidRDefault="007E1F5C" w:rsidP="007E1F5C">
      <w:pPr>
        <w:pStyle w:val="NormalWeb"/>
        <w:spacing w:before="0" w:beforeAutospacing="0" w:after="0" w:afterAutospacing="0" w:line="360" w:lineRule="auto"/>
        <w:jc w:val="both"/>
        <w:rPr>
          <w:rFonts w:ascii="Arial" w:hAnsi="Arial" w:cs="Arial"/>
        </w:rPr>
      </w:pPr>
    </w:p>
    <w:p w:rsidR="007E1F5C" w:rsidRDefault="007E1F5C" w:rsidP="007E1F5C">
      <w:pPr>
        <w:tabs>
          <w:tab w:val="left" w:pos="1134"/>
        </w:tabs>
        <w:spacing w:line="360" w:lineRule="auto"/>
        <w:jc w:val="both"/>
        <w:rPr>
          <w:rFonts w:cs="Arial"/>
          <w:b/>
          <w:sz w:val="24"/>
          <w:szCs w:val="24"/>
        </w:rPr>
      </w:pPr>
      <w:r>
        <w:rPr>
          <w:rFonts w:cs="Arial"/>
          <w:b/>
          <w:sz w:val="24"/>
          <w:szCs w:val="24"/>
        </w:rPr>
        <w:t>16. VIGÊNCIA DA ATA DE REGISTRO DE PREÇOS E/OU CONTRATO</w:t>
      </w:r>
    </w:p>
    <w:p w:rsidR="007E1F5C" w:rsidRDefault="007E1F5C" w:rsidP="007E1F5C">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pelo mesmo período.</w:t>
      </w:r>
    </w:p>
    <w:p w:rsidR="007E1F5C" w:rsidRDefault="007E1F5C" w:rsidP="007E1F5C">
      <w:pPr>
        <w:spacing w:line="360" w:lineRule="auto"/>
        <w:jc w:val="both"/>
        <w:rPr>
          <w:rFonts w:cs="Arial"/>
          <w:sz w:val="24"/>
          <w:szCs w:val="24"/>
        </w:rPr>
      </w:pPr>
      <w:r>
        <w:rPr>
          <w:rFonts w:cs="Arial"/>
          <w:b/>
          <w:bCs/>
          <w:sz w:val="24"/>
          <w:szCs w:val="24"/>
        </w:rPr>
        <w:lastRenderedPageBreak/>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7E1F5C" w:rsidRDefault="007E1F5C" w:rsidP="007E1F5C">
      <w:pPr>
        <w:spacing w:line="360" w:lineRule="auto"/>
        <w:rPr>
          <w:rFonts w:cs="Arial"/>
          <w:b/>
          <w:sz w:val="24"/>
          <w:szCs w:val="24"/>
        </w:rPr>
      </w:pPr>
    </w:p>
    <w:p w:rsidR="007E1F5C" w:rsidRDefault="007E1F5C" w:rsidP="007E1F5C">
      <w:pPr>
        <w:spacing w:line="360" w:lineRule="auto"/>
        <w:jc w:val="both"/>
        <w:rPr>
          <w:rFonts w:cs="Arial"/>
          <w:b/>
          <w:bCs/>
          <w:sz w:val="24"/>
          <w:szCs w:val="24"/>
        </w:rPr>
      </w:pPr>
      <w:r>
        <w:rPr>
          <w:rFonts w:cs="Arial"/>
          <w:b/>
          <w:bCs/>
          <w:sz w:val="24"/>
          <w:szCs w:val="24"/>
        </w:rPr>
        <w:t>17. DAS HIPÓTESES DE CANCELAMENTO DA ATA:</w:t>
      </w:r>
    </w:p>
    <w:p w:rsidR="007E1F5C" w:rsidRDefault="007E1F5C" w:rsidP="007E1F5C">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7E1F5C" w:rsidRDefault="007E1F5C" w:rsidP="007E1F5C">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7E1F5C" w:rsidRDefault="007E1F5C" w:rsidP="007E1F5C">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7E1F5C" w:rsidRDefault="007E1F5C" w:rsidP="007E1F5C">
      <w:pPr>
        <w:spacing w:line="360" w:lineRule="auto"/>
        <w:jc w:val="both"/>
        <w:rPr>
          <w:rFonts w:cs="Arial"/>
          <w:sz w:val="24"/>
          <w:szCs w:val="24"/>
        </w:rPr>
      </w:pPr>
    </w:p>
    <w:p w:rsidR="007E1F5C" w:rsidRDefault="007E1F5C" w:rsidP="007E1F5C">
      <w:pPr>
        <w:spacing w:line="360" w:lineRule="auto"/>
        <w:jc w:val="both"/>
        <w:rPr>
          <w:rFonts w:cs="Arial"/>
          <w:b/>
          <w:bCs/>
          <w:sz w:val="24"/>
          <w:szCs w:val="24"/>
        </w:rPr>
      </w:pPr>
      <w:r>
        <w:rPr>
          <w:rFonts w:cs="Arial"/>
          <w:b/>
          <w:bCs/>
          <w:sz w:val="24"/>
          <w:szCs w:val="24"/>
        </w:rPr>
        <w:t>18. DAS CONDIÇÕES PARA ALTERAÇÃO DOS PREÇOS REGISTRADOS:</w:t>
      </w:r>
    </w:p>
    <w:p w:rsidR="007E1F5C" w:rsidRDefault="007E1F5C" w:rsidP="007E1F5C">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7E1F5C" w:rsidRDefault="007E1F5C" w:rsidP="007E1F5C">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7E1F5C" w:rsidRDefault="007E1F5C" w:rsidP="007E1F5C">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(quinze) dias.</w:t>
      </w:r>
    </w:p>
    <w:p w:rsidR="007E1F5C" w:rsidRDefault="007E1F5C" w:rsidP="007E1F5C">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w:t>
      </w:r>
      <w:r>
        <w:rPr>
          <w:rFonts w:cs="Arial"/>
          <w:color w:val="000000"/>
          <w:sz w:val="24"/>
          <w:szCs w:val="24"/>
        </w:rPr>
        <w:lastRenderedPageBreak/>
        <w:t xml:space="preserve">momento em que deverá ser demonstrada a vantagem da Administração, em que conceder os novos valores à contratada. </w:t>
      </w:r>
    </w:p>
    <w:p w:rsidR="007E1F5C" w:rsidRDefault="007E1F5C" w:rsidP="007E1F5C">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7E1F5C" w:rsidRDefault="007E1F5C" w:rsidP="007E1F5C">
      <w:pPr>
        <w:spacing w:line="360" w:lineRule="auto"/>
        <w:jc w:val="both"/>
        <w:rPr>
          <w:rFonts w:cs="Arial"/>
          <w:sz w:val="24"/>
          <w:szCs w:val="24"/>
        </w:rPr>
      </w:pPr>
    </w:p>
    <w:p w:rsidR="007E1F5C" w:rsidRDefault="007E1F5C" w:rsidP="007E1F5C">
      <w:pPr>
        <w:spacing w:line="360" w:lineRule="auto"/>
        <w:jc w:val="both"/>
        <w:rPr>
          <w:rFonts w:cs="Arial"/>
          <w:b/>
          <w:bCs/>
          <w:sz w:val="24"/>
          <w:szCs w:val="24"/>
        </w:rPr>
      </w:pPr>
      <w:r>
        <w:rPr>
          <w:rFonts w:cs="Arial"/>
          <w:b/>
          <w:bCs/>
          <w:sz w:val="24"/>
          <w:szCs w:val="24"/>
        </w:rPr>
        <w:t>19. FORMALIZAÇÃO DO CADASTRO RESERVA:</w:t>
      </w:r>
    </w:p>
    <w:p w:rsidR="007E1F5C" w:rsidRDefault="007E1F5C" w:rsidP="007E1F5C">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7E1F5C" w:rsidRDefault="007E1F5C" w:rsidP="007E1F5C">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7E1F5C" w:rsidRDefault="007E1F5C" w:rsidP="007E1F5C">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7E1F5C" w:rsidRDefault="007E1F5C" w:rsidP="007E1F5C">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7E1F5C" w:rsidRDefault="007E1F5C" w:rsidP="007E1F5C">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7E1F5C" w:rsidRDefault="007E1F5C" w:rsidP="007E1F5C">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7E1F5C" w:rsidRDefault="007E1F5C" w:rsidP="007E1F5C">
      <w:pPr>
        <w:spacing w:before="100" w:beforeAutospacing="1" w:line="360" w:lineRule="auto"/>
        <w:jc w:val="both"/>
        <w:rPr>
          <w:rFonts w:cs="Arial"/>
          <w:color w:val="000000"/>
          <w:sz w:val="16"/>
          <w:szCs w:val="16"/>
          <w:lang w:eastAsia="pt-BR"/>
        </w:rPr>
      </w:pPr>
    </w:p>
    <w:p w:rsidR="007E1F5C" w:rsidRDefault="007E1F5C" w:rsidP="007E1F5C">
      <w:pPr>
        <w:spacing w:line="360" w:lineRule="auto"/>
        <w:jc w:val="both"/>
        <w:rPr>
          <w:rFonts w:cs="Arial"/>
          <w:b/>
          <w:bCs/>
          <w:sz w:val="24"/>
          <w:szCs w:val="24"/>
        </w:rPr>
      </w:pPr>
      <w:r>
        <w:rPr>
          <w:rFonts w:cs="Arial"/>
          <w:b/>
          <w:bCs/>
          <w:sz w:val="24"/>
          <w:szCs w:val="24"/>
        </w:rPr>
        <w:t>20. DA CARONA:</w:t>
      </w:r>
    </w:p>
    <w:p w:rsidR="007E1F5C" w:rsidRDefault="007E1F5C" w:rsidP="007E1F5C">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7E1F5C" w:rsidRDefault="007E1F5C" w:rsidP="007E1F5C">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7E1F5C" w:rsidRDefault="007E1F5C" w:rsidP="007E1F5C">
      <w:pPr>
        <w:pStyle w:val="NormalWeb"/>
        <w:spacing w:before="0" w:beforeAutospacing="0" w:after="0" w:afterAutospacing="0" w:line="360" w:lineRule="auto"/>
        <w:jc w:val="both"/>
      </w:pPr>
      <w:bookmarkStart w:id="54" w:name="art86§2ii"/>
      <w:bookmarkEnd w:id="54"/>
      <w:r>
        <w:rPr>
          <w:rFonts w:ascii="Arial" w:hAnsi="Arial" w:cs="Arial"/>
          <w:b/>
          <w:bCs/>
          <w:color w:val="000000"/>
        </w:rPr>
        <w:lastRenderedPageBreak/>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10" w:anchor="art23" w:history="1">
        <w:r>
          <w:rPr>
            <w:rStyle w:val="Hyperlink"/>
            <w:rFonts w:ascii="Arial" w:hAnsi="Arial" w:cs="Arial"/>
          </w:rPr>
          <w:t>art. 23 da Lei</w:t>
        </w:r>
      </w:hyperlink>
      <w:r>
        <w:rPr>
          <w:rFonts w:ascii="Arial" w:hAnsi="Arial" w:cs="Arial"/>
        </w:rPr>
        <w:t xml:space="preserve"> Federal n.º 14.133/2021;</w:t>
      </w:r>
    </w:p>
    <w:p w:rsidR="007E1F5C" w:rsidRDefault="007E1F5C" w:rsidP="007E1F5C">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7E1F5C" w:rsidRDefault="007E1F5C" w:rsidP="007E1F5C">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7E1F5C" w:rsidRDefault="007E1F5C" w:rsidP="007E1F5C">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7E1F5C" w:rsidRDefault="007E1F5C" w:rsidP="007E1F5C">
      <w:pPr>
        <w:pStyle w:val="NormalWeb"/>
        <w:spacing w:before="0" w:beforeAutospacing="0" w:after="0" w:afterAutospacing="0" w:line="360" w:lineRule="auto"/>
        <w:jc w:val="both"/>
        <w:rPr>
          <w:rFonts w:ascii="Arial" w:hAnsi="Arial" w:cs="Arial"/>
          <w:color w:val="000000"/>
        </w:rPr>
      </w:pPr>
    </w:p>
    <w:p w:rsidR="007E1F5C" w:rsidRDefault="007E1F5C" w:rsidP="007E1F5C">
      <w:pPr>
        <w:tabs>
          <w:tab w:val="left" w:pos="1134"/>
        </w:tabs>
        <w:spacing w:line="360" w:lineRule="auto"/>
        <w:jc w:val="both"/>
        <w:rPr>
          <w:rFonts w:cs="Arial"/>
          <w:b/>
          <w:sz w:val="24"/>
          <w:szCs w:val="24"/>
        </w:rPr>
      </w:pPr>
      <w:r>
        <w:rPr>
          <w:rFonts w:cs="Arial"/>
          <w:b/>
          <w:sz w:val="24"/>
          <w:szCs w:val="24"/>
        </w:rPr>
        <w:t>21. DO RECEBIMENTO DO OBJETO:</w:t>
      </w:r>
    </w:p>
    <w:p w:rsidR="007E1F5C" w:rsidRDefault="007E1F5C" w:rsidP="007E1F5C">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w:t>
      </w:r>
      <w:r w:rsidR="00C42008">
        <w:rPr>
          <w:rFonts w:cs="Arial"/>
          <w:sz w:val="24"/>
          <w:szCs w:val="24"/>
        </w:rPr>
        <w:t>a integral dos materiais é de 02</w:t>
      </w:r>
      <w:r>
        <w:rPr>
          <w:rFonts w:cs="Arial"/>
          <w:sz w:val="24"/>
          <w:szCs w:val="24"/>
        </w:rPr>
        <w:t xml:space="preserve"> </w:t>
      </w:r>
      <w:proofErr w:type="gramStart"/>
      <w:r>
        <w:rPr>
          <w:rFonts w:cs="Arial"/>
          <w:sz w:val="24"/>
          <w:szCs w:val="24"/>
        </w:rPr>
        <w:t>(</w:t>
      </w:r>
      <w:r w:rsidR="00C42008">
        <w:rPr>
          <w:rFonts w:cs="Arial"/>
          <w:sz w:val="24"/>
          <w:szCs w:val="24"/>
        </w:rPr>
        <w:t xml:space="preserve"> dois</w:t>
      </w:r>
      <w:proofErr w:type="gramEnd"/>
      <w:r w:rsidR="00C42008">
        <w:rPr>
          <w:rFonts w:cs="Arial"/>
          <w:sz w:val="24"/>
          <w:szCs w:val="24"/>
        </w:rPr>
        <w:t xml:space="preserve"> </w:t>
      </w:r>
      <w:r>
        <w:rPr>
          <w:rFonts w:cs="Arial"/>
          <w:sz w:val="24"/>
          <w:szCs w:val="24"/>
        </w:rPr>
        <w:t>) dias úteis, a contar da emissão da ordem de fornecimento.</w:t>
      </w:r>
    </w:p>
    <w:p w:rsidR="007E1F5C" w:rsidRDefault="007E1F5C" w:rsidP="007E1F5C">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Os materiais, deverão ser entregues no </w:t>
      </w:r>
      <w:r w:rsidR="00C42008">
        <w:rPr>
          <w:rFonts w:cs="Arial"/>
          <w:sz w:val="24"/>
          <w:szCs w:val="24"/>
        </w:rPr>
        <w:t>Pronto Atendimento Municipal de Santo Antônio das Missões-RS ou conforme determinação da Secretaria Municipal de Saúde</w:t>
      </w:r>
      <w:r>
        <w:rPr>
          <w:rFonts w:cs="Arial"/>
          <w:sz w:val="24"/>
          <w:szCs w:val="24"/>
        </w:rPr>
        <w:t>, no horário das 08:00 ás 14:00 horas.</w:t>
      </w:r>
    </w:p>
    <w:p w:rsidR="007E1F5C" w:rsidRDefault="007E1F5C" w:rsidP="007E1F5C">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Verificada a desconformidade de algum dos produtos, a licitante vencedora deverá promover as correções necessárias no prazo máximo de 05 (cinco) dias úteis, sujeitando-se às penalidades previstas neste edital.</w:t>
      </w:r>
    </w:p>
    <w:p w:rsidR="007E1F5C" w:rsidRDefault="007E1F5C" w:rsidP="007E1F5C">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7E1F5C" w:rsidRDefault="007E1F5C" w:rsidP="007E1F5C">
      <w:pPr>
        <w:spacing w:line="360" w:lineRule="auto"/>
        <w:rPr>
          <w:rFonts w:cs="Arial"/>
          <w:b/>
          <w:sz w:val="24"/>
          <w:szCs w:val="24"/>
        </w:rPr>
      </w:pPr>
    </w:p>
    <w:p w:rsidR="007E1F5C" w:rsidRDefault="007E1F5C" w:rsidP="007E1F5C">
      <w:pPr>
        <w:tabs>
          <w:tab w:val="left" w:pos="1134"/>
        </w:tabs>
        <w:spacing w:line="360" w:lineRule="auto"/>
        <w:jc w:val="both"/>
        <w:rPr>
          <w:rFonts w:cs="Arial"/>
          <w:b/>
          <w:sz w:val="24"/>
          <w:szCs w:val="24"/>
        </w:rPr>
      </w:pPr>
      <w:r>
        <w:rPr>
          <w:rFonts w:cs="Arial"/>
          <w:b/>
          <w:sz w:val="24"/>
          <w:szCs w:val="24"/>
        </w:rPr>
        <w:t>22. PRAZOS E CONDIÇÕES DE PAGAMENTO:</w:t>
      </w:r>
    </w:p>
    <w:p w:rsidR="007E1F5C" w:rsidRDefault="007E1F5C" w:rsidP="007E1F5C">
      <w:pPr>
        <w:tabs>
          <w:tab w:val="left" w:pos="1134"/>
        </w:tabs>
        <w:spacing w:line="360" w:lineRule="auto"/>
        <w:jc w:val="both"/>
        <w:rPr>
          <w:rFonts w:cs="Arial"/>
          <w:sz w:val="24"/>
          <w:szCs w:val="24"/>
        </w:rPr>
      </w:pPr>
      <w:r>
        <w:rPr>
          <w:rFonts w:cs="Arial"/>
          <w:b/>
          <w:sz w:val="24"/>
          <w:szCs w:val="24"/>
        </w:rPr>
        <w:lastRenderedPageBreak/>
        <w:t>22.1.</w:t>
      </w:r>
      <w:r>
        <w:rPr>
          <w:rFonts w:cs="Arial"/>
          <w:sz w:val="24"/>
          <w:szCs w:val="24"/>
        </w:rPr>
        <w:t xml:space="preserve"> O pagamento será efetuado contra empenho, após o recebimento do objeto, e mediante apresentação da Nota Fiscal/Fatura. </w:t>
      </w:r>
    </w:p>
    <w:p w:rsidR="007E1F5C" w:rsidRDefault="007E1F5C" w:rsidP="007E1F5C">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7E1F5C" w:rsidRDefault="007E1F5C" w:rsidP="007E1F5C">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w:t>
      </w:r>
      <w:r w:rsidR="00A059E9">
        <w:rPr>
          <w:rFonts w:cs="Arial"/>
          <w:sz w:val="24"/>
          <w:szCs w:val="24"/>
        </w:rPr>
        <w:t>fetuado no prazo de máximo de 30</w:t>
      </w:r>
      <w:r>
        <w:rPr>
          <w:rFonts w:cs="Arial"/>
          <w:sz w:val="24"/>
          <w:szCs w:val="24"/>
        </w:rPr>
        <w:t xml:space="preserve"> </w:t>
      </w:r>
      <w:proofErr w:type="gramStart"/>
      <w:r>
        <w:rPr>
          <w:rFonts w:cs="Arial"/>
          <w:sz w:val="24"/>
          <w:szCs w:val="24"/>
        </w:rPr>
        <w:t xml:space="preserve">( </w:t>
      </w:r>
      <w:r w:rsidR="00A059E9">
        <w:rPr>
          <w:rFonts w:cs="Arial"/>
          <w:sz w:val="24"/>
          <w:szCs w:val="24"/>
        </w:rPr>
        <w:t>trinta</w:t>
      </w:r>
      <w:proofErr w:type="gramEnd"/>
      <w:r>
        <w:rPr>
          <w:rFonts w:cs="Arial"/>
          <w:sz w:val="24"/>
          <w:szCs w:val="24"/>
        </w:rPr>
        <w:t xml:space="preserve"> ) dias úteis da entrega total dos Materiais.</w:t>
      </w:r>
    </w:p>
    <w:p w:rsidR="007E1F5C" w:rsidRDefault="007E1F5C" w:rsidP="007E1F5C">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7E1F5C" w:rsidRDefault="007E1F5C" w:rsidP="007E1F5C">
      <w:pPr>
        <w:tabs>
          <w:tab w:val="left" w:pos="1134"/>
        </w:tabs>
        <w:spacing w:line="360" w:lineRule="auto"/>
        <w:jc w:val="both"/>
        <w:rPr>
          <w:rFonts w:cs="Arial"/>
          <w:sz w:val="24"/>
          <w:szCs w:val="24"/>
        </w:rPr>
      </w:pPr>
    </w:p>
    <w:p w:rsidR="007E1F5C" w:rsidRDefault="007E1F5C" w:rsidP="007E1F5C">
      <w:pPr>
        <w:tabs>
          <w:tab w:val="left" w:pos="1134"/>
        </w:tabs>
        <w:spacing w:line="360" w:lineRule="auto"/>
        <w:jc w:val="both"/>
        <w:rPr>
          <w:rFonts w:cs="Arial"/>
          <w:b/>
          <w:sz w:val="24"/>
          <w:szCs w:val="24"/>
        </w:rPr>
      </w:pPr>
      <w:r>
        <w:rPr>
          <w:rFonts w:cs="Arial"/>
          <w:b/>
          <w:sz w:val="24"/>
          <w:szCs w:val="24"/>
        </w:rPr>
        <w:t>23. SANÇÕES ADMINISTRATIVAS</w:t>
      </w:r>
    </w:p>
    <w:p w:rsidR="007E1F5C" w:rsidRDefault="007E1F5C" w:rsidP="007E1F5C">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7E1F5C" w:rsidRDefault="007E1F5C" w:rsidP="007E1F5C">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7E1F5C" w:rsidRDefault="007E1F5C" w:rsidP="007E1F5C">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7E1F5C" w:rsidRDefault="007E1F5C" w:rsidP="007E1F5C">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7E1F5C" w:rsidRDefault="007E1F5C" w:rsidP="007E1F5C">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7E1F5C" w:rsidRDefault="007E1F5C" w:rsidP="007E1F5C">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7E1F5C" w:rsidRDefault="007E1F5C" w:rsidP="007E1F5C">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7E1F5C" w:rsidRDefault="007E1F5C" w:rsidP="007E1F5C">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lastRenderedPageBreak/>
        <w:t>g)</w:t>
      </w:r>
      <w:r>
        <w:rPr>
          <w:rFonts w:ascii="Arial" w:hAnsi="Arial" w:cs="Arial"/>
        </w:rPr>
        <w:t xml:space="preserve"> ensejar o retardamento da execução ou da entrega do objeto da licitação sem motivo justificado;</w:t>
      </w:r>
    </w:p>
    <w:p w:rsidR="007E1F5C" w:rsidRDefault="007E1F5C" w:rsidP="007E1F5C">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7E1F5C" w:rsidRDefault="007E1F5C" w:rsidP="007E1F5C">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7E1F5C" w:rsidRDefault="007E1F5C" w:rsidP="007E1F5C">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7E1F5C" w:rsidRDefault="007E1F5C" w:rsidP="007E1F5C">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7E1F5C" w:rsidRDefault="007E1F5C" w:rsidP="007E1F5C">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1" w:anchor="art5" w:history="1">
        <w:r>
          <w:rPr>
            <w:rStyle w:val="Hyperlink"/>
            <w:rFonts w:ascii="Arial" w:hAnsi="Arial" w:cs="Arial"/>
          </w:rPr>
          <w:t>art. 5º da Lei nº 12.846, de 1º de agosto de 2013.</w:t>
        </w:r>
      </w:hyperlink>
    </w:p>
    <w:p w:rsidR="007E1F5C" w:rsidRDefault="007E1F5C" w:rsidP="007E1F5C">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7"/>
      </w:r>
      <w:r>
        <w:rPr>
          <w:rFonts w:ascii="Arial" w:hAnsi="Arial" w:cs="Arial"/>
        </w:rPr>
        <w:t>:</w:t>
      </w:r>
    </w:p>
    <w:p w:rsidR="007E1F5C" w:rsidRDefault="007E1F5C" w:rsidP="007E1F5C">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7E1F5C" w:rsidRDefault="007E1F5C" w:rsidP="007E1F5C">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7E1F5C" w:rsidRDefault="007E1F5C" w:rsidP="007E1F5C">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7E1F5C" w:rsidRDefault="007E1F5C" w:rsidP="007E1F5C">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7E1F5C" w:rsidRDefault="007E1F5C" w:rsidP="007E1F5C">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7E1F5C" w:rsidRDefault="007E1F5C" w:rsidP="007E1F5C">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w:t>
      </w:r>
      <w:r>
        <w:rPr>
          <w:rFonts w:ascii="Arial" w:hAnsi="Arial" w:cs="Arial"/>
        </w:rPr>
        <w:lastRenderedPageBreak/>
        <w:t xml:space="preserve">e/ou contrato com a aplicação cumulada de outras sanções, conforme previsto no item 23.2 do presente Edital. </w:t>
      </w:r>
    </w:p>
    <w:p w:rsidR="007E1F5C" w:rsidRDefault="007E1F5C" w:rsidP="007E1F5C">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7E1F5C" w:rsidRDefault="007E1F5C" w:rsidP="007E1F5C">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7E1F5C" w:rsidRDefault="007E1F5C" w:rsidP="007E1F5C">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7E1F5C" w:rsidRDefault="007E1F5C" w:rsidP="007E1F5C">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7E1F5C" w:rsidRDefault="007E1F5C" w:rsidP="007E1F5C">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7E1F5C" w:rsidRDefault="007E1F5C" w:rsidP="007E1F5C">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7E1F5C" w:rsidRDefault="007E1F5C" w:rsidP="007E1F5C">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w:t>
      </w:r>
      <w:r>
        <w:rPr>
          <w:rFonts w:ascii="Arial" w:hAnsi="Arial" w:cs="Arial"/>
        </w:rPr>
        <w:lastRenderedPageBreak/>
        <w:t>de fato ou de direito, com o sancionado, observados, em todos os casos, o contraditório, a ampla defesa e a obrigatoriedade de análise jurídica prévia.</w:t>
      </w:r>
    </w:p>
    <w:p w:rsidR="007E1F5C" w:rsidRDefault="007E1F5C" w:rsidP="007E1F5C">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7E1F5C" w:rsidRDefault="007E1F5C" w:rsidP="007E1F5C">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7E1F5C" w:rsidRDefault="007E1F5C" w:rsidP="007E1F5C">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7E1F5C" w:rsidRDefault="007E1F5C" w:rsidP="007E1F5C">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7E1F5C" w:rsidRDefault="007E1F5C" w:rsidP="007E1F5C">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7E1F5C" w:rsidRDefault="007E1F5C" w:rsidP="007E1F5C">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7E1F5C" w:rsidRDefault="007E1F5C" w:rsidP="007E1F5C">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7E1F5C" w:rsidRDefault="007E1F5C" w:rsidP="007E1F5C">
      <w:pPr>
        <w:tabs>
          <w:tab w:val="left" w:pos="1134"/>
        </w:tabs>
        <w:spacing w:line="360" w:lineRule="auto"/>
        <w:jc w:val="both"/>
        <w:rPr>
          <w:rFonts w:cs="Arial"/>
          <w:b/>
          <w:sz w:val="24"/>
          <w:szCs w:val="24"/>
        </w:rPr>
      </w:pPr>
    </w:p>
    <w:p w:rsidR="007E1F5C" w:rsidRDefault="007E1F5C" w:rsidP="007E1F5C">
      <w:pPr>
        <w:tabs>
          <w:tab w:val="left" w:pos="1134"/>
        </w:tabs>
        <w:spacing w:line="360" w:lineRule="auto"/>
        <w:jc w:val="both"/>
        <w:rPr>
          <w:rFonts w:cs="Arial"/>
          <w:b/>
          <w:sz w:val="24"/>
          <w:szCs w:val="24"/>
        </w:rPr>
      </w:pPr>
      <w:r>
        <w:rPr>
          <w:rFonts w:cs="Arial"/>
          <w:b/>
          <w:sz w:val="24"/>
          <w:szCs w:val="24"/>
        </w:rPr>
        <w:t>24. PEDIDOS DE ESCLARECIMENTOS E IMPUGNAÇÕES</w:t>
      </w:r>
    </w:p>
    <w:p w:rsidR="007E1F5C" w:rsidRDefault="007E1F5C" w:rsidP="007E1F5C">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7E1F5C" w:rsidRDefault="007E1F5C" w:rsidP="007E1F5C">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7E1F5C" w:rsidRDefault="007E1F5C" w:rsidP="007E1F5C">
      <w:pPr>
        <w:spacing w:line="360" w:lineRule="auto"/>
        <w:jc w:val="both"/>
        <w:rPr>
          <w:rFonts w:cs="Arial"/>
          <w:sz w:val="24"/>
          <w:szCs w:val="24"/>
        </w:rPr>
      </w:pPr>
    </w:p>
    <w:p w:rsidR="007E1F5C" w:rsidRDefault="007E1F5C" w:rsidP="007E1F5C">
      <w:pPr>
        <w:tabs>
          <w:tab w:val="left" w:pos="1134"/>
        </w:tabs>
        <w:spacing w:line="360" w:lineRule="auto"/>
        <w:jc w:val="both"/>
        <w:rPr>
          <w:rFonts w:cs="Arial"/>
          <w:b/>
          <w:sz w:val="24"/>
          <w:szCs w:val="24"/>
        </w:rPr>
      </w:pPr>
      <w:r>
        <w:rPr>
          <w:rFonts w:cs="Arial"/>
          <w:b/>
          <w:sz w:val="24"/>
          <w:szCs w:val="24"/>
        </w:rPr>
        <w:t>25. DAS DISPOSIÇÕES GERAIS:</w:t>
      </w:r>
    </w:p>
    <w:p w:rsidR="007E1F5C" w:rsidRDefault="007E1F5C" w:rsidP="007E1F5C">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7E1F5C" w:rsidRDefault="007E1F5C" w:rsidP="007E1F5C">
      <w:pPr>
        <w:tabs>
          <w:tab w:val="left" w:pos="1134"/>
        </w:tabs>
        <w:spacing w:line="360" w:lineRule="auto"/>
        <w:jc w:val="both"/>
        <w:rPr>
          <w:rFonts w:cs="Arial"/>
          <w:sz w:val="24"/>
          <w:szCs w:val="24"/>
        </w:rPr>
      </w:pPr>
      <w:r>
        <w:rPr>
          <w:rFonts w:cs="Arial"/>
          <w:b/>
          <w:bCs/>
          <w:sz w:val="24"/>
          <w:szCs w:val="24"/>
        </w:rPr>
        <w:lastRenderedPageBreak/>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7E1F5C" w:rsidRDefault="007E1F5C" w:rsidP="007E1F5C">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7E1F5C" w:rsidRDefault="007E1F5C" w:rsidP="007E1F5C">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7E1F5C" w:rsidRDefault="007E1F5C" w:rsidP="007E1F5C">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7E1F5C" w:rsidRDefault="007E1F5C" w:rsidP="007E1F5C">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7E1F5C" w:rsidRDefault="007E1F5C" w:rsidP="007E1F5C">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7E1F5C" w:rsidRDefault="007E1F5C" w:rsidP="007E1F5C">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7E1F5C" w:rsidRDefault="007E1F5C" w:rsidP="007E1F5C">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7E1F5C" w:rsidRDefault="007E1F5C" w:rsidP="007E1F5C">
      <w:pPr>
        <w:pStyle w:val="Nivel2"/>
        <w:numPr>
          <w:ilvl w:val="0"/>
          <w:numId w:val="0"/>
        </w:numPr>
        <w:spacing w:before="0" w:after="0" w:line="360" w:lineRule="auto"/>
        <w:rPr>
          <w:sz w:val="24"/>
          <w:szCs w:val="24"/>
        </w:rPr>
      </w:pPr>
      <w:r>
        <w:rPr>
          <w:b/>
          <w:bCs/>
          <w:sz w:val="24"/>
          <w:szCs w:val="24"/>
        </w:rPr>
        <w:lastRenderedPageBreak/>
        <w:t>25.10.</w:t>
      </w:r>
      <w:r>
        <w:rPr>
          <w:sz w:val="24"/>
          <w:szCs w:val="24"/>
        </w:rPr>
        <w:t xml:space="preserve"> Em caso de divergência entre disposições deste Edital e de seus anexos ou demais peças que compõem o processo, prevalecerá as deste Edital.</w:t>
      </w:r>
    </w:p>
    <w:p w:rsidR="007E1F5C" w:rsidRDefault="007E1F5C" w:rsidP="007E1F5C">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7E1F5C" w:rsidRDefault="007E1F5C" w:rsidP="007E1F5C">
      <w:pPr>
        <w:pStyle w:val="Nivel2"/>
        <w:numPr>
          <w:ilvl w:val="0"/>
          <w:numId w:val="0"/>
        </w:numPr>
        <w:spacing w:before="0" w:after="0" w:line="360" w:lineRule="auto"/>
        <w:rPr>
          <w:sz w:val="24"/>
          <w:szCs w:val="24"/>
        </w:rPr>
      </w:pPr>
    </w:p>
    <w:p w:rsidR="007E1F5C" w:rsidRDefault="006C1424" w:rsidP="007E1F5C">
      <w:pPr>
        <w:tabs>
          <w:tab w:val="left" w:pos="1134"/>
        </w:tabs>
        <w:spacing w:line="360" w:lineRule="auto"/>
        <w:jc w:val="center"/>
        <w:rPr>
          <w:rFonts w:cs="Arial"/>
          <w:b/>
          <w:bCs/>
          <w:sz w:val="24"/>
          <w:szCs w:val="24"/>
        </w:rPr>
      </w:pPr>
      <w:r>
        <w:rPr>
          <w:rFonts w:cs="Arial"/>
          <w:b/>
          <w:bCs/>
          <w:sz w:val="24"/>
          <w:szCs w:val="24"/>
        </w:rPr>
        <w:t>Santo Antônio das Missões-RS, 08</w:t>
      </w:r>
      <w:r w:rsidR="007E1F5C">
        <w:rPr>
          <w:rFonts w:cs="Arial"/>
          <w:b/>
          <w:bCs/>
          <w:sz w:val="24"/>
          <w:szCs w:val="24"/>
        </w:rPr>
        <w:t xml:space="preserve"> de </w:t>
      </w:r>
      <w:r>
        <w:rPr>
          <w:rFonts w:cs="Arial"/>
          <w:b/>
          <w:bCs/>
          <w:sz w:val="24"/>
          <w:szCs w:val="24"/>
        </w:rPr>
        <w:t>abril</w:t>
      </w:r>
      <w:r w:rsidR="007E1F5C">
        <w:rPr>
          <w:rFonts w:cs="Arial"/>
          <w:b/>
          <w:bCs/>
          <w:sz w:val="24"/>
          <w:szCs w:val="24"/>
        </w:rPr>
        <w:t xml:space="preserve"> de 2025.</w:t>
      </w:r>
    </w:p>
    <w:p w:rsidR="007E1F5C" w:rsidRDefault="007E1F5C" w:rsidP="007E1F5C">
      <w:pPr>
        <w:tabs>
          <w:tab w:val="left" w:pos="1134"/>
        </w:tabs>
        <w:spacing w:line="360" w:lineRule="auto"/>
        <w:jc w:val="both"/>
        <w:rPr>
          <w:rFonts w:cs="Arial"/>
          <w:b/>
          <w:bCs/>
          <w:sz w:val="24"/>
          <w:szCs w:val="24"/>
        </w:rPr>
      </w:pPr>
    </w:p>
    <w:p w:rsidR="007E1F5C" w:rsidRDefault="007E1F5C" w:rsidP="007E1F5C">
      <w:pPr>
        <w:pStyle w:val="Corpodetexto"/>
        <w:jc w:val="center"/>
        <w:rPr>
          <w:sz w:val="24"/>
          <w:szCs w:val="24"/>
        </w:rPr>
      </w:pPr>
      <w:r>
        <w:rPr>
          <w:sz w:val="24"/>
          <w:szCs w:val="24"/>
        </w:rPr>
        <w:t>_________________________________________</w:t>
      </w:r>
    </w:p>
    <w:p w:rsidR="007E1F5C" w:rsidRDefault="007E1F5C" w:rsidP="007E1F5C">
      <w:pPr>
        <w:pStyle w:val="Corpodetexto"/>
        <w:jc w:val="center"/>
        <w:rPr>
          <w:sz w:val="24"/>
          <w:szCs w:val="24"/>
        </w:rPr>
      </w:pPr>
      <w:r>
        <w:rPr>
          <w:sz w:val="24"/>
          <w:szCs w:val="24"/>
        </w:rPr>
        <w:t>FELISBERTO DOS SANTOS FERREIRA</w:t>
      </w:r>
    </w:p>
    <w:p w:rsidR="007E1F5C" w:rsidRDefault="007E1F5C" w:rsidP="007E1F5C">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E1F5C" w:rsidRDefault="007E1F5C" w:rsidP="007E1F5C">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7E1F5C" w:rsidRDefault="007E1F5C" w:rsidP="007E1F5C">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7E1F5C" w:rsidRDefault="007E1F5C" w:rsidP="007E1F5C">
                            <w:pPr>
                              <w:pStyle w:val="Corpodetexto"/>
                              <w:rPr>
                                <w:sz w:val="24"/>
                              </w:rPr>
                            </w:pPr>
                          </w:p>
                          <w:p w:rsidR="007E1F5C" w:rsidRDefault="007E1F5C" w:rsidP="007E1F5C">
                            <w:pPr>
                              <w:pStyle w:val="Corpodetexto"/>
                              <w:rPr>
                                <w:sz w:val="24"/>
                              </w:rPr>
                            </w:pPr>
                          </w:p>
                          <w:p w:rsidR="007E1F5C" w:rsidRDefault="007E1F5C" w:rsidP="007E1F5C">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7E1F5C" w:rsidRDefault="007E1F5C" w:rsidP="007E1F5C">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7E1F5C" w:rsidRDefault="007E1F5C" w:rsidP="007E1F5C">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7E1F5C" w:rsidRDefault="007E1F5C" w:rsidP="007E1F5C">
                      <w:pPr>
                        <w:pStyle w:val="Corpodetexto"/>
                        <w:rPr>
                          <w:sz w:val="24"/>
                        </w:rPr>
                      </w:pPr>
                    </w:p>
                    <w:p w:rsidR="007E1F5C" w:rsidRDefault="007E1F5C" w:rsidP="007E1F5C">
                      <w:pPr>
                        <w:pStyle w:val="Corpodetexto"/>
                        <w:rPr>
                          <w:sz w:val="24"/>
                        </w:rPr>
                      </w:pPr>
                    </w:p>
                    <w:p w:rsidR="007E1F5C" w:rsidRDefault="007E1F5C" w:rsidP="007E1F5C">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470F1"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7E1F5C" w:rsidRDefault="007E1F5C" w:rsidP="007E1F5C">
      <w:pPr>
        <w:pStyle w:val="Corpodetexto"/>
        <w:rPr>
          <w:sz w:val="24"/>
          <w:szCs w:val="24"/>
        </w:rPr>
      </w:pPr>
    </w:p>
    <w:p w:rsidR="007E1F5C" w:rsidRDefault="007E1F5C" w:rsidP="007E1F5C">
      <w:pPr>
        <w:pStyle w:val="Nivel2"/>
        <w:numPr>
          <w:ilvl w:val="0"/>
          <w:numId w:val="0"/>
        </w:numPr>
        <w:spacing w:before="0" w:after="0" w:line="360" w:lineRule="auto"/>
        <w:rPr>
          <w:rFonts w:eastAsia="Times New Roman"/>
          <w:sz w:val="24"/>
          <w:szCs w:val="24"/>
        </w:rPr>
      </w:pPr>
    </w:p>
    <w:p w:rsidR="007E1F5C" w:rsidRDefault="007E1F5C" w:rsidP="007E1F5C">
      <w:pPr>
        <w:tabs>
          <w:tab w:val="left" w:pos="1134"/>
        </w:tabs>
        <w:spacing w:line="360" w:lineRule="auto"/>
        <w:jc w:val="both"/>
        <w:rPr>
          <w:rFonts w:cs="Arial"/>
          <w:sz w:val="24"/>
          <w:szCs w:val="24"/>
        </w:rPr>
      </w:pPr>
    </w:p>
    <w:p w:rsidR="007E1F5C" w:rsidRDefault="007E1F5C" w:rsidP="007E1F5C"/>
    <w:p w:rsidR="007E1F5C" w:rsidRDefault="007E1F5C" w:rsidP="007E1F5C"/>
    <w:p w:rsidR="007E1F5C" w:rsidRDefault="007E1F5C" w:rsidP="007E1F5C"/>
    <w:p w:rsidR="007E1F5C" w:rsidRDefault="007E1F5C" w:rsidP="007E1F5C"/>
    <w:p w:rsidR="007E1F5C" w:rsidRDefault="007E1F5C" w:rsidP="007E1F5C"/>
    <w:p w:rsidR="007E1F5C" w:rsidRDefault="007E1F5C" w:rsidP="007E1F5C"/>
    <w:p w:rsidR="007E1F5C" w:rsidRDefault="007E1F5C" w:rsidP="007E1F5C"/>
    <w:p w:rsidR="007E1F5C" w:rsidRDefault="007E1F5C" w:rsidP="007E1F5C"/>
    <w:p w:rsidR="007E1F5C" w:rsidRDefault="007E1F5C" w:rsidP="007E1F5C"/>
    <w:p w:rsidR="007E1F5C" w:rsidRDefault="007E1F5C" w:rsidP="007E1F5C"/>
    <w:p w:rsidR="007E1F5C" w:rsidRDefault="007E1F5C" w:rsidP="007E1F5C"/>
    <w:p w:rsidR="007E1F5C" w:rsidRDefault="007E1F5C" w:rsidP="007E1F5C"/>
    <w:p w:rsidR="007E1F5C" w:rsidRDefault="007E1F5C" w:rsidP="007E1F5C"/>
    <w:p w:rsidR="007E1F5C" w:rsidRDefault="007E1F5C" w:rsidP="007E1F5C"/>
    <w:p w:rsidR="007E1F5C" w:rsidRDefault="007E1F5C" w:rsidP="007E1F5C"/>
    <w:p w:rsidR="007E1F5C" w:rsidRDefault="007E1F5C" w:rsidP="007E1F5C"/>
    <w:p w:rsidR="007E1F5C" w:rsidRDefault="007E1F5C" w:rsidP="007E1F5C"/>
    <w:p w:rsidR="007E1F5C" w:rsidRDefault="007E1F5C" w:rsidP="007E1F5C"/>
    <w:p w:rsidR="007E1F5C" w:rsidRDefault="007E1F5C" w:rsidP="007E1F5C">
      <w:pPr>
        <w:pStyle w:val="Corpodetexto"/>
        <w:rPr>
          <w:b/>
          <w:sz w:val="20"/>
        </w:rPr>
      </w:pPr>
      <w:r>
        <w:rPr>
          <w:b/>
          <w:sz w:val="20"/>
        </w:rPr>
        <w:t>ANEXO II</w:t>
      </w:r>
    </w:p>
    <w:p w:rsidR="007E1F5C" w:rsidRDefault="007E1F5C" w:rsidP="007E1F5C">
      <w:pPr>
        <w:pStyle w:val="Corpodetexto"/>
        <w:rPr>
          <w:b/>
          <w:sz w:val="20"/>
        </w:rPr>
      </w:pPr>
    </w:p>
    <w:p w:rsidR="007E1F5C" w:rsidRDefault="006C1424" w:rsidP="007E1F5C">
      <w:pPr>
        <w:pStyle w:val="Corpodetexto"/>
        <w:rPr>
          <w:b/>
          <w:sz w:val="20"/>
          <w:u w:val="single"/>
        </w:rPr>
      </w:pPr>
      <w:r>
        <w:rPr>
          <w:b/>
          <w:sz w:val="20"/>
          <w:u w:val="single"/>
        </w:rPr>
        <w:t>PROCESSO DE LICITAÇÃO Nº 044</w:t>
      </w:r>
      <w:r w:rsidR="007E1F5C">
        <w:rPr>
          <w:b/>
          <w:sz w:val="20"/>
          <w:u w:val="single"/>
        </w:rPr>
        <w:t>-2025 – PREGÃO ELETRÔNICO</w:t>
      </w:r>
    </w:p>
    <w:p w:rsidR="007E1F5C" w:rsidRDefault="007E1F5C" w:rsidP="007E1F5C">
      <w:pPr>
        <w:pStyle w:val="Corpodetexto"/>
        <w:rPr>
          <w:b/>
          <w:sz w:val="20"/>
        </w:rPr>
      </w:pPr>
    </w:p>
    <w:p w:rsidR="007E1F5C" w:rsidRDefault="007E1F5C" w:rsidP="007E1F5C">
      <w:pPr>
        <w:pStyle w:val="Corpodetexto"/>
        <w:rPr>
          <w:b/>
          <w:sz w:val="20"/>
        </w:rPr>
      </w:pPr>
      <w:r>
        <w:rPr>
          <w:b/>
          <w:sz w:val="20"/>
        </w:rPr>
        <w:t xml:space="preserve">MODELO DE PROPOSTA </w:t>
      </w:r>
      <w:proofErr w:type="gramStart"/>
      <w:r>
        <w:rPr>
          <w:b/>
          <w:sz w:val="20"/>
        </w:rPr>
        <w:t>FINANCEIRA :</w:t>
      </w:r>
      <w:proofErr w:type="gramEnd"/>
      <w:r>
        <w:rPr>
          <w:b/>
          <w:sz w:val="20"/>
        </w:rPr>
        <w:t xml:space="preserve"> ( RAZÇÃO SOCIAL COMPLETA DA EMPRESA )</w:t>
      </w:r>
    </w:p>
    <w:p w:rsidR="007E1F5C" w:rsidRDefault="007E1F5C" w:rsidP="007E1F5C">
      <w:pPr>
        <w:pStyle w:val="Corpodetexto"/>
        <w:rPr>
          <w:sz w:val="20"/>
        </w:rPr>
      </w:pPr>
    </w:p>
    <w:p w:rsidR="007E1F5C" w:rsidRDefault="007E1F5C" w:rsidP="007E1F5C">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7E1F5C" w:rsidRDefault="007E1F5C" w:rsidP="007E1F5C">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7E1F5C" w:rsidRDefault="007E1F5C" w:rsidP="007E1F5C">
      <w:pPr>
        <w:pStyle w:val="Corpodetexto"/>
        <w:rPr>
          <w:sz w:val="20"/>
        </w:rPr>
      </w:pPr>
    </w:p>
    <w:p w:rsidR="007E1F5C" w:rsidRDefault="007E1F5C" w:rsidP="007E1F5C">
      <w:pPr>
        <w:pStyle w:val="Corpodetexto"/>
        <w:jc w:val="both"/>
        <w:rPr>
          <w:rFonts w:cs="Arial"/>
          <w:b/>
          <w:i/>
          <w:sz w:val="24"/>
          <w:szCs w:val="24"/>
          <w:u w:val="single"/>
        </w:rPr>
      </w:pPr>
      <w:r>
        <w:rPr>
          <w:rFonts w:cs="Arial"/>
          <w:b/>
          <w:i/>
          <w:sz w:val="24"/>
          <w:szCs w:val="24"/>
        </w:rPr>
        <w:t>- Registro de preços para futuras aquisições de</w:t>
      </w:r>
      <w:r w:rsidR="006C1424">
        <w:rPr>
          <w:rFonts w:cs="Arial"/>
          <w:b/>
          <w:i/>
          <w:sz w:val="24"/>
          <w:szCs w:val="24"/>
        </w:rPr>
        <w:t xml:space="preserve"> RECARGAS DE OXIGÊNIOS HOSPITALARES</w:t>
      </w:r>
      <w:r>
        <w:rPr>
          <w:rFonts w:cs="Arial"/>
          <w:b/>
          <w:i/>
          <w:sz w:val="24"/>
          <w:szCs w:val="24"/>
        </w:rPr>
        <w:t xml:space="preserve">. </w:t>
      </w:r>
    </w:p>
    <w:p w:rsidR="007E1F5C" w:rsidRDefault="007E1F5C" w:rsidP="007E1F5C">
      <w:pPr>
        <w:pStyle w:val="Corpodetexto"/>
        <w:jc w:val="both"/>
        <w:rPr>
          <w:rFonts w:cs="Arial"/>
          <w:b/>
          <w:sz w:val="24"/>
          <w:szCs w:val="24"/>
          <w:u w:val="single"/>
        </w:rPr>
      </w:pPr>
    </w:p>
    <w:p w:rsidR="007E1F5C" w:rsidRDefault="007E1F5C" w:rsidP="007E1F5C">
      <w:pPr>
        <w:pStyle w:val="Corpodetexto"/>
        <w:jc w:val="both"/>
        <w:rPr>
          <w:rFonts w:cs="Arial"/>
          <w:b/>
          <w:sz w:val="24"/>
          <w:szCs w:val="24"/>
          <w:u w:val="single"/>
        </w:rPr>
      </w:pPr>
      <w:r>
        <w:rPr>
          <w:rFonts w:cs="Arial"/>
          <w:b/>
          <w:sz w:val="24"/>
          <w:szCs w:val="24"/>
          <w:u w:val="single"/>
        </w:rPr>
        <w:t xml:space="preserve">Itens: </w:t>
      </w:r>
    </w:p>
    <w:p w:rsidR="007E1F5C" w:rsidRDefault="007E1F5C" w:rsidP="007E1F5C">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7E1F5C" w:rsidTr="007E1F5C">
        <w:tc>
          <w:tcPr>
            <w:tcW w:w="977" w:type="dxa"/>
            <w:tcBorders>
              <w:top w:val="single" w:sz="4" w:space="0" w:color="auto"/>
              <w:left w:val="single" w:sz="4" w:space="0" w:color="auto"/>
              <w:bottom w:val="single" w:sz="4" w:space="0" w:color="auto"/>
              <w:right w:val="single" w:sz="4" w:space="0" w:color="auto"/>
            </w:tcBorders>
            <w:hideMark/>
          </w:tcPr>
          <w:p w:rsidR="007E1F5C" w:rsidRDefault="007E1F5C">
            <w:pPr>
              <w:spacing w:line="360" w:lineRule="auto"/>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7E1F5C" w:rsidRDefault="007E1F5C">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7E1F5C" w:rsidRDefault="007E1F5C">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7E1F5C" w:rsidRDefault="007E1F5C">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7E1F5C" w:rsidRDefault="007E1F5C">
            <w:pPr>
              <w:spacing w:line="360" w:lineRule="auto"/>
            </w:pPr>
            <w:r>
              <w:t>V. Total</w:t>
            </w:r>
          </w:p>
        </w:tc>
      </w:tr>
      <w:tr w:rsidR="007E1F5C" w:rsidTr="007E1F5C">
        <w:tc>
          <w:tcPr>
            <w:tcW w:w="977" w:type="dxa"/>
            <w:tcBorders>
              <w:top w:val="single" w:sz="4" w:space="0" w:color="auto"/>
              <w:left w:val="single" w:sz="4" w:space="0" w:color="auto"/>
              <w:bottom w:val="single" w:sz="4" w:space="0" w:color="auto"/>
              <w:right w:val="single" w:sz="4" w:space="0" w:color="auto"/>
            </w:tcBorders>
          </w:tcPr>
          <w:p w:rsidR="007E1F5C" w:rsidRDefault="007E1F5C">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7E1F5C" w:rsidRDefault="007E1F5C">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7E1F5C" w:rsidRDefault="007E1F5C">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7E1F5C" w:rsidRDefault="007E1F5C">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7E1F5C" w:rsidRDefault="007E1F5C">
            <w:pPr>
              <w:spacing w:line="360" w:lineRule="auto"/>
            </w:pPr>
          </w:p>
        </w:tc>
      </w:tr>
      <w:tr w:rsidR="007E1F5C" w:rsidTr="007E1F5C">
        <w:tc>
          <w:tcPr>
            <w:tcW w:w="977" w:type="dxa"/>
            <w:tcBorders>
              <w:top w:val="single" w:sz="4" w:space="0" w:color="auto"/>
              <w:left w:val="single" w:sz="4" w:space="0" w:color="auto"/>
              <w:bottom w:val="single" w:sz="4" w:space="0" w:color="auto"/>
              <w:right w:val="single" w:sz="4" w:space="0" w:color="auto"/>
            </w:tcBorders>
          </w:tcPr>
          <w:p w:rsidR="007E1F5C" w:rsidRDefault="007E1F5C">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7E1F5C" w:rsidRDefault="007E1F5C">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7E1F5C" w:rsidRDefault="007E1F5C">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7E1F5C" w:rsidRDefault="007E1F5C">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7E1F5C" w:rsidRDefault="007E1F5C">
            <w:pPr>
              <w:spacing w:line="360" w:lineRule="auto"/>
            </w:pPr>
          </w:p>
        </w:tc>
      </w:tr>
      <w:tr w:rsidR="007E1F5C" w:rsidTr="007E1F5C">
        <w:tc>
          <w:tcPr>
            <w:tcW w:w="977" w:type="dxa"/>
            <w:tcBorders>
              <w:top w:val="single" w:sz="4" w:space="0" w:color="auto"/>
              <w:left w:val="single" w:sz="4" w:space="0" w:color="auto"/>
              <w:bottom w:val="single" w:sz="4" w:space="0" w:color="auto"/>
              <w:right w:val="single" w:sz="4" w:space="0" w:color="auto"/>
            </w:tcBorders>
          </w:tcPr>
          <w:p w:rsidR="007E1F5C" w:rsidRDefault="007E1F5C">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7E1F5C" w:rsidRDefault="007E1F5C">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7E1F5C" w:rsidRDefault="007E1F5C">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7E1F5C" w:rsidRDefault="007E1F5C">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7E1F5C" w:rsidRDefault="007E1F5C">
            <w:pPr>
              <w:spacing w:line="360" w:lineRule="auto"/>
            </w:pPr>
          </w:p>
        </w:tc>
      </w:tr>
    </w:tbl>
    <w:p w:rsidR="007E1F5C" w:rsidRDefault="007E1F5C" w:rsidP="007E1F5C">
      <w:pPr>
        <w:pStyle w:val="Corpodetexto"/>
        <w:rPr>
          <w:sz w:val="20"/>
        </w:rPr>
      </w:pPr>
    </w:p>
    <w:p w:rsidR="007E1F5C" w:rsidRDefault="007E1F5C" w:rsidP="007E1F5C">
      <w:pPr>
        <w:pStyle w:val="Corpodetexto"/>
        <w:rPr>
          <w:sz w:val="20"/>
        </w:rPr>
      </w:pPr>
      <w:r>
        <w:rPr>
          <w:sz w:val="20"/>
        </w:rPr>
        <w:t>DECLARAMOS QUE CUMPRIMOS COM TODOS OS REQUISITOS DE EDITAL E TERMO DE REFERÊNCIA.</w:t>
      </w:r>
    </w:p>
    <w:p w:rsidR="007E1F5C" w:rsidRDefault="007E1F5C" w:rsidP="007E1F5C">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7E1F5C" w:rsidRDefault="007E1F5C" w:rsidP="007E1F5C">
      <w:pPr>
        <w:pStyle w:val="Corpodetexto"/>
        <w:jc w:val="center"/>
      </w:pPr>
      <w:r>
        <w:t>_________________________________</w:t>
      </w:r>
    </w:p>
    <w:p w:rsidR="007E1F5C" w:rsidRDefault="007E1F5C" w:rsidP="007E1F5C">
      <w:pPr>
        <w:pStyle w:val="Corpodetexto"/>
        <w:jc w:val="center"/>
      </w:pPr>
    </w:p>
    <w:p w:rsidR="007E1F5C" w:rsidRDefault="007E1F5C" w:rsidP="007E1F5C">
      <w:pPr>
        <w:pStyle w:val="Corpodetexto"/>
        <w:rPr>
          <w:sz w:val="20"/>
        </w:rPr>
      </w:pPr>
      <w:r>
        <w:rPr>
          <w:sz w:val="20"/>
        </w:rPr>
        <w:t xml:space="preserve">                                                           Assinatura e carimbo da empresa</w:t>
      </w:r>
    </w:p>
    <w:p w:rsidR="007E1F5C" w:rsidRDefault="007E1F5C" w:rsidP="007E1F5C">
      <w:pPr>
        <w:pStyle w:val="Corpodetexto"/>
        <w:jc w:val="center"/>
        <w:rPr>
          <w:sz w:val="20"/>
        </w:rPr>
      </w:pPr>
      <w:r>
        <w:rPr>
          <w:sz w:val="20"/>
        </w:rPr>
        <w:t>CNPJ -</w:t>
      </w:r>
    </w:p>
    <w:p w:rsidR="007E1F5C" w:rsidRDefault="007E1F5C" w:rsidP="007E1F5C"/>
    <w:p w:rsidR="007E1F5C" w:rsidRDefault="007E1F5C" w:rsidP="007E1F5C"/>
    <w:p w:rsidR="006E6E67" w:rsidRDefault="006E6E67"/>
    <w:sectPr w:rsidR="006E6E67" w:rsidSect="007E1F5C">
      <w:headerReference w:type="default" r:id="rId12"/>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16E1" w:rsidRDefault="003B16E1" w:rsidP="007E1F5C">
      <w:r>
        <w:separator/>
      </w:r>
    </w:p>
  </w:endnote>
  <w:endnote w:type="continuationSeparator" w:id="0">
    <w:p w:rsidR="003B16E1" w:rsidRDefault="003B16E1" w:rsidP="007E1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16E1" w:rsidRDefault="003B16E1" w:rsidP="007E1F5C">
      <w:r>
        <w:separator/>
      </w:r>
    </w:p>
  </w:footnote>
  <w:footnote w:type="continuationSeparator" w:id="0">
    <w:p w:rsidR="003B16E1" w:rsidRDefault="003B16E1" w:rsidP="007E1F5C">
      <w:r>
        <w:continuationSeparator/>
      </w:r>
    </w:p>
  </w:footnote>
  <w:footnote w:id="1">
    <w:p w:rsidR="007E1F5C" w:rsidRDefault="007E1F5C" w:rsidP="007E1F5C">
      <w:pPr>
        <w:pStyle w:val="Textodenotaderodap"/>
        <w:rPr>
          <w:rFonts w:ascii="Arial" w:hAnsi="Arial" w:cs="Arial"/>
          <w:lang w:val="en-US"/>
        </w:rPr>
      </w:pPr>
    </w:p>
  </w:footnote>
  <w:footnote w:id="2">
    <w:p w:rsidR="007E1F5C" w:rsidRDefault="007E1F5C" w:rsidP="007E1F5C">
      <w:pPr>
        <w:pStyle w:val="Textodenotaderodap"/>
        <w:rPr>
          <w:rFonts w:ascii="Arial" w:hAnsi="Arial" w:cs="Arial"/>
          <w:color w:val="FF0000"/>
          <w:lang w:val="en-US"/>
        </w:rPr>
      </w:pPr>
    </w:p>
  </w:footnote>
  <w:footnote w:id="3">
    <w:p w:rsidR="007E1F5C" w:rsidRDefault="007E1F5C" w:rsidP="007E1F5C">
      <w:pPr>
        <w:pStyle w:val="Textodenotaderodap"/>
        <w:rPr>
          <w:rFonts w:ascii="Arial" w:hAnsi="Arial" w:cs="Arial"/>
        </w:rPr>
      </w:pPr>
    </w:p>
    <w:p w:rsidR="007E1F5C" w:rsidRDefault="007E1F5C" w:rsidP="007E1F5C">
      <w:pPr>
        <w:pStyle w:val="Textodenotaderodap"/>
        <w:rPr>
          <w:sz w:val="16"/>
          <w:szCs w:val="16"/>
        </w:rPr>
      </w:pPr>
    </w:p>
  </w:footnote>
  <w:footnote w:id="4">
    <w:p w:rsidR="007E1F5C" w:rsidRDefault="007E1F5C" w:rsidP="007E1F5C">
      <w:pPr>
        <w:pStyle w:val="Textodenotaderodap"/>
        <w:rPr>
          <w:rFonts w:ascii="Arial" w:hAnsi="Arial" w:cs="Arial"/>
          <w:lang w:val="en-US"/>
        </w:rPr>
      </w:pPr>
    </w:p>
  </w:footnote>
  <w:footnote w:id="5">
    <w:p w:rsidR="007E1F5C" w:rsidRDefault="007E1F5C" w:rsidP="007E1F5C">
      <w:pPr>
        <w:pStyle w:val="Textodenotaderodap"/>
        <w:rPr>
          <w:rFonts w:ascii="Arial" w:hAnsi="Arial" w:cs="Arial"/>
          <w:color w:val="FF0000"/>
          <w:lang w:val="en-US"/>
        </w:rPr>
      </w:pPr>
    </w:p>
  </w:footnote>
  <w:footnote w:id="6">
    <w:p w:rsidR="007E1F5C" w:rsidRDefault="007E1F5C" w:rsidP="007E1F5C">
      <w:pPr>
        <w:pStyle w:val="Textodenotaderodap"/>
        <w:rPr>
          <w:rFonts w:ascii="Arial" w:hAnsi="Arial" w:cs="Arial"/>
        </w:rPr>
      </w:pPr>
    </w:p>
  </w:footnote>
  <w:footnote w:id="7">
    <w:p w:rsidR="007E1F5C" w:rsidRDefault="007E1F5C" w:rsidP="007E1F5C">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7E1F5C" w:rsidRDefault="007E1F5C" w:rsidP="007E1F5C">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D96" w:rsidRPr="00192798" w:rsidRDefault="001F3D96" w:rsidP="001F3D96">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49D1AED5" wp14:editId="0C2D05C9">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3D96" w:rsidRDefault="001F3D96" w:rsidP="001F3D96">
                          <w:pPr>
                            <w:jc w:val="center"/>
                          </w:pPr>
                        </w:p>
                        <w:p w:rsidR="001F3D96" w:rsidRPr="00553BF7" w:rsidRDefault="001F3D96" w:rsidP="001F3D9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1F3D96" w:rsidRDefault="001F3D96" w:rsidP="001F3D96">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D1AED5"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1F3D96" w:rsidRDefault="001F3D96" w:rsidP="001F3D96">
                    <w:pPr>
                      <w:jc w:val="center"/>
                    </w:pPr>
                  </w:p>
                  <w:p w:rsidR="001F3D96" w:rsidRPr="00553BF7" w:rsidRDefault="001F3D96" w:rsidP="001F3D9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1F3D96" w:rsidRDefault="001F3D96" w:rsidP="001F3D96">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100.5pt">
          <v:imagedata r:id="rId1" o:title=""/>
        </v:shape>
        <o:OLEObject Type="Embed" ProgID="PBrush" ShapeID="_x0000_i1025" DrawAspect="Content" ObjectID="_1805618546" r:id="rId2"/>
      </w:object>
    </w:r>
  </w:p>
  <w:p w:rsidR="001F3D96" w:rsidRDefault="001F3D96">
    <w:pPr>
      <w:pStyle w:val="Cabealho"/>
    </w:pPr>
  </w:p>
  <w:p w:rsidR="001F3D96" w:rsidRDefault="001F3D9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5306E"/>
    <w:multiLevelType w:val="multilevel"/>
    <w:tmpl w:val="5D726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F5C"/>
    <w:rsid w:val="00044365"/>
    <w:rsid w:val="001F3D96"/>
    <w:rsid w:val="003B16E1"/>
    <w:rsid w:val="006C1424"/>
    <w:rsid w:val="006E6E67"/>
    <w:rsid w:val="007E1F5C"/>
    <w:rsid w:val="00A059E9"/>
    <w:rsid w:val="00AA566B"/>
    <w:rsid w:val="00C420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02F45"/>
  <w15:chartTrackingRefBased/>
  <w15:docId w15:val="{2E96327E-7030-42DB-AFCA-77FE75F3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F5C"/>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7E1F5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7E1F5C"/>
    <w:rPr>
      <w:color w:val="0000FF"/>
      <w:u w:val="single"/>
    </w:rPr>
  </w:style>
  <w:style w:type="paragraph" w:styleId="NormalWeb">
    <w:name w:val="Normal (Web)"/>
    <w:basedOn w:val="Normal"/>
    <w:uiPriority w:val="99"/>
    <w:unhideWhenUsed/>
    <w:rsid w:val="007E1F5C"/>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7E1F5C"/>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7E1F5C"/>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7E1F5C"/>
    <w:pPr>
      <w:spacing w:after="120"/>
    </w:pPr>
  </w:style>
  <w:style w:type="character" w:customStyle="1" w:styleId="CorpodetextoChar">
    <w:name w:val="Corpo de texto Char"/>
    <w:basedOn w:val="Fontepargpadro"/>
    <w:link w:val="Corpodetexto"/>
    <w:uiPriority w:val="99"/>
    <w:semiHidden/>
    <w:rsid w:val="007E1F5C"/>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7E1F5C"/>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7E1F5C"/>
    <w:rPr>
      <w:rFonts w:ascii="Arial" w:eastAsia="Times New Roman" w:hAnsi="Arial" w:cs="Times New Roman"/>
      <w:szCs w:val="20"/>
    </w:rPr>
  </w:style>
  <w:style w:type="paragraph" w:customStyle="1" w:styleId="Textoembloco1">
    <w:name w:val="Texto em bloco1"/>
    <w:basedOn w:val="Normal"/>
    <w:uiPriority w:val="99"/>
    <w:rsid w:val="007E1F5C"/>
    <w:pPr>
      <w:ind w:left="4253" w:right="57" w:firstLine="1134"/>
      <w:jc w:val="both"/>
    </w:pPr>
    <w:rPr>
      <w:i/>
      <w:spacing w:val="14"/>
    </w:rPr>
  </w:style>
  <w:style w:type="paragraph" w:customStyle="1" w:styleId="Default">
    <w:name w:val="Default"/>
    <w:uiPriority w:val="99"/>
    <w:rsid w:val="007E1F5C"/>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7E1F5C"/>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7E1F5C"/>
    <w:rPr>
      <w:rFonts w:ascii="Arial" w:eastAsia="MS Mincho" w:hAnsi="Arial" w:cs="Arial"/>
      <w:color w:val="000000"/>
      <w:sz w:val="20"/>
      <w:szCs w:val="20"/>
      <w:lang w:eastAsia="pt-BR"/>
    </w:rPr>
  </w:style>
  <w:style w:type="paragraph" w:customStyle="1" w:styleId="Nivel2">
    <w:name w:val="Nivel 2"/>
    <w:basedOn w:val="Normal"/>
    <w:link w:val="Nivel2Char"/>
    <w:qFormat/>
    <w:rsid w:val="007E1F5C"/>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7E1F5C"/>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7E1F5C"/>
    <w:pPr>
      <w:numPr>
        <w:ilvl w:val="3"/>
      </w:numPr>
      <w:ind w:left="851" w:firstLine="0"/>
    </w:pPr>
    <w:rPr>
      <w:color w:val="auto"/>
    </w:rPr>
  </w:style>
  <w:style w:type="paragraph" w:customStyle="1" w:styleId="Nivel5">
    <w:name w:val="Nivel 5"/>
    <w:basedOn w:val="Nivel4"/>
    <w:uiPriority w:val="99"/>
    <w:qFormat/>
    <w:rsid w:val="007E1F5C"/>
    <w:pPr>
      <w:numPr>
        <w:ilvl w:val="4"/>
      </w:numPr>
      <w:tabs>
        <w:tab w:val="num" w:pos="0"/>
      </w:tabs>
      <w:ind w:left="1276" w:firstLine="0"/>
    </w:pPr>
  </w:style>
  <w:style w:type="character" w:styleId="Refdenotaderodap">
    <w:name w:val="footnote reference"/>
    <w:uiPriority w:val="99"/>
    <w:semiHidden/>
    <w:unhideWhenUsed/>
    <w:rsid w:val="007E1F5C"/>
    <w:rPr>
      <w:vertAlign w:val="superscript"/>
    </w:rPr>
  </w:style>
  <w:style w:type="table" w:styleId="Tabelacomgrade">
    <w:name w:val="Table Grid"/>
    <w:basedOn w:val="Tabelanormal"/>
    <w:uiPriority w:val="39"/>
    <w:rsid w:val="007E1F5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7E1F5C"/>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1F3D96"/>
    <w:rPr>
      <w:rFonts w:ascii="Segoe UI" w:hAnsi="Segoe UI" w:cs="Segoe UI"/>
      <w:sz w:val="18"/>
      <w:szCs w:val="18"/>
    </w:rPr>
  </w:style>
  <w:style w:type="character" w:customStyle="1" w:styleId="TextodebaloChar">
    <w:name w:val="Texto de balão Char"/>
    <w:basedOn w:val="Fontepargpadro"/>
    <w:link w:val="Textodebalo"/>
    <w:uiPriority w:val="99"/>
    <w:semiHidden/>
    <w:rsid w:val="001F3D96"/>
    <w:rPr>
      <w:rFonts w:ascii="Segoe UI" w:eastAsia="Times New Roman" w:hAnsi="Segoe UI" w:cs="Segoe UI"/>
      <w:sz w:val="18"/>
      <w:szCs w:val="18"/>
    </w:rPr>
  </w:style>
  <w:style w:type="paragraph" w:styleId="Cabealho">
    <w:name w:val="header"/>
    <w:basedOn w:val="Normal"/>
    <w:link w:val="CabealhoChar"/>
    <w:uiPriority w:val="99"/>
    <w:unhideWhenUsed/>
    <w:rsid w:val="001F3D96"/>
    <w:pPr>
      <w:tabs>
        <w:tab w:val="center" w:pos="4252"/>
        <w:tab w:val="right" w:pos="8504"/>
      </w:tabs>
    </w:pPr>
  </w:style>
  <w:style w:type="character" w:customStyle="1" w:styleId="CabealhoChar">
    <w:name w:val="Cabeçalho Char"/>
    <w:basedOn w:val="Fontepargpadro"/>
    <w:link w:val="Cabealho"/>
    <w:uiPriority w:val="99"/>
    <w:rsid w:val="001F3D96"/>
    <w:rPr>
      <w:rFonts w:ascii="Arial" w:eastAsia="Times New Roman" w:hAnsi="Arial" w:cs="Times New Roman"/>
      <w:szCs w:val="20"/>
    </w:rPr>
  </w:style>
  <w:style w:type="paragraph" w:styleId="Rodap">
    <w:name w:val="footer"/>
    <w:basedOn w:val="Normal"/>
    <w:link w:val="RodapChar"/>
    <w:uiPriority w:val="99"/>
    <w:unhideWhenUsed/>
    <w:rsid w:val="001F3D96"/>
    <w:pPr>
      <w:tabs>
        <w:tab w:val="center" w:pos="4252"/>
        <w:tab w:val="right" w:pos="8504"/>
      </w:tabs>
    </w:pPr>
  </w:style>
  <w:style w:type="character" w:customStyle="1" w:styleId="RodapChar">
    <w:name w:val="Rodapé Char"/>
    <w:basedOn w:val="Fontepargpadro"/>
    <w:link w:val="Rodap"/>
    <w:uiPriority w:val="99"/>
    <w:rsid w:val="001F3D96"/>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3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ocolo@santoantoniomissoes@rs.gov.b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1-2014/2013/Lei/L12846.htm" TargetMode="External"/><Relationship Id="rId5" Type="http://schemas.openxmlformats.org/officeDocument/2006/relationships/footnotes" Target="footnotes.xml"/><Relationship Id="rId10" Type="http://schemas.openxmlformats.org/officeDocument/2006/relationships/hyperlink" Target="https://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27</Pages>
  <Words>6691</Words>
  <Characters>36136</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2025-04-08T14:44:00Z</cp:lastPrinted>
  <dcterms:created xsi:type="dcterms:W3CDTF">2025-04-08T13:58:00Z</dcterms:created>
  <dcterms:modified xsi:type="dcterms:W3CDTF">2025-04-08T14:56:00Z</dcterms:modified>
</cp:coreProperties>
</file>