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A33" w:rsidRPr="00D74A33" w:rsidRDefault="00D74A33" w:rsidP="004C1778">
      <w:pPr>
        <w:jc w:val="center"/>
        <w:rPr>
          <w:rFonts w:asciiTheme="minorHAnsi" w:hAnsiTheme="minorHAnsi"/>
          <w:b/>
          <w:bCs/>
          <w:i/>
          <w:sz w:val="28"/>
          <w:szCs w:val="28"/>
        </w:rPr>
      </w:pPr>
      <w:r w:rsidRPr="00D74A33">
        <w:rPr>
          <w:rFonts w:asciiTheme="minorHAnsi" w:hAnsiTheme="minorHAnsi"/>
          <w:b/>
          <w:bCs/>
          <w:i/>
          <w:sz w:val="28"/>
          <w:szCs w:val="28"/>
        </w:rPr>
        <w:t>PREGÃO ELETRÔNICO 68-2025</w:t>
      </w:r>
    </w:p>
    <w:p w:rsidR="00D74A33" w:rsidRPr="00D74A33" w:rsidRDefault="00D74A33" w:rsidP="004C1778">
      <w:pPr>
        <w:jc w:val="center"/>
        <w:rPr>
          <w:rFonts w:asciiTheme="minorHAnsi" w:hAnsiTheme="minorHAnsi"/>
          <w:b/>
          <w:bCs/>
          <w:i/>
          <w:sz w:val="28"/>
          <w:szCs w:val="28"/>
        </w:rPr>
      </w:pPr>
      <w:r w:rsidRPr="00D74A33">
        <w:rPr>
          <w:rFonts w:asciiTheme="minorHAnsi" w:hAnsiTheme="minorHAnsi"/>
          <w:b/>
          <w:bCs/>
          <w:i/>
          <w:sz w:val="28"/>
          <w:szCs w:val="28"/>
        </w:rPr>
        <w:t>ANEXO I</w:t>
      </w:r>
    </w:p>
    <w:p w:rsidR="00D74A33" w:rsidRDefault="00D74A33" w:rsidP="004C1778">
      <w:pPr>
        <w:jc w:val="center"/>
        <w:rPr>
          <w:rFonts w:asciiTheme="minorHAnsi" w:hAnsiTheme="minorHAnsi"/>
          <w:b/>
          <w:bCs/>
        </w:rPr>
      </w:pPr>
    </w:p>
    <w:p w:rsidR="00D74A33" w:rsidRDefault="00D74A33" w:rsidP="004C1778">
      <w:pPr>
        <w:jc w:val="center"/>
        <w:rPr>
          <w:rFonts w:asciiTheme="minorHAnsi" w:hAnsiTheme="minorHAnsi"/>
          <w:b/>
          <w:bCs/>
        </w:rPr>
      </w:pPr>
      <w:bookmarkStart w:id="0" w:name="_GoBack"/>
      <w:bookmarkEnd w:id="0"/>
    </w:p>
    <w:p w:rsidR="00AF3650" w:rsidRPr="004C1778" w:rsidRDefault="00AF3650" w:rsidP="004C1778">
      <w:pPr>
        <w:jc w:val="center"/>
        <w:rPr>
          <w:rFonts w:asciiTheme="minorHAnsi" w:hAnsiTheme="minorHAnsi"/>
          <w:b/>
          <w:bCs/>
        </w:rPr>
      </w:pPr>
      <w:r w:rsidRPr="00AF3650">
        <w:rPr>
          <w:rFonts w:asciiTheme="minorHAnsi" w:hAnsiTheme="minorHAnsi"/>
          <w:b/>
          <w:bCs/>
        </w:rPr>
        <w:t>TERMO DE REFERÊNCIA</w:t>
      </w:r>
    </w:p>
    <w:p w:rsidR="004C1778" w:rsidRPr="00AF3650" w:rsidRDefault="004C1778" w:rsidP="00AF3650">
      <w:pPr>
        <w:rPr>
          <w:rFonts w:asciiTheme="minorHAnsi" w:hAnsiTheme="minorHAnsi"/>
        </w:rPr>
      </w:pP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1. OBJETO</w:t>
      </w:r>
    </w:p>
    <w:p w:rsidR="00AF3650" w:rsidRPr="00AF3650" w:rsidRDefault="00AF3650" w:rsidP="004C1778">
      <w:pPr>
        <w:jc w:val="both"/>
        <w:rPr>
          <w:rFonts w:asciiTheme="minorHAnsi" w:hAnsiTheme="minorHAnsi"/>
        </w:rPr>
      </w:pPr>
      <w:r w:rsidRPr="00AF3650">
        <w:rPr>
          <w:rFonts w:asciiTheme="minorHAnsi" w:hAnsiTheme="minorHAnsi"/>
        </w:rPr>
        <w:t>Aquisição de materiais médico-hospitalares para uso nas unidades de saúde da Prefeitura Municipal de Santo Antônio das Missões/RS, conforme especificações, quantidades e condições estabelecidas neste Termo de Referência.</w:t>
      </w:r>
    </w:p>
    <w:p w:rsidR="004C1778" w:rsidRDefault="004C1778" w:rsidP="00AF3650">
      <w:pPr>
        <w:rPr>
          <w:rFonts w:asciiTheme="minorHAnsi" w:hAnsiTheme="minorHAnsi"/>
        </w:rPr>
      </w:pP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2. JUSTIFICATIVA</w:t>
      </w:r>
    </w:p>
    <w:p w:rsidR="00AF3650" w:rsidRPr="00AF3650" w:rsidRDefault="00AF3650" w:rsidP="004C1778">
      <w:pPr>
        <w:jc w:val="both"/>
        <w:rPr>
          <w:rFonts w:asciiTheme="minorHAnsi" w:hAnsiTheme="minorHAnsi"/>
        </w:rPr>
      </w:pPr>
      <w:r w:rsidRPr="00AF3650">
        <w:rPr>
          <w:rFonts w:asciiTheme="minorHAnsi" w:hAnsiTheme="minorHAnsi"/>
        </w:rPr>
        <w:t>A presente contratação visa suprir a necessidade de materiais essenciais à prestação de serviços de saúde no município, garantindo a continuidade e a segurança nos atendimentos à população.</w:t>
      </w:r>
    </w:p>
    <w:p w:rsidR="004C1778" w:rsidRDefault="004C1778" w:rsidP="00AF3650">
      <w:pPr>
        <w:rPr>
          <w:rFonts w:asciiTheme="minorHAnsi" w:hAnsiTheme="minorHAnsi"/>
        </w:rPr>
      </w:pP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3. FUNDAMENTAÇÃO LEGAL</w:t>
      </w:r>
    </w:p>
    <w:p w:rsidR="00AF3650" w:rsidRPr="00AF3650" w:rsidRDefault="00AF3650" w:rsidP="004C1778">
      <w:pPr>
        <w:jc w:val="both"/>
        <w:rPr>
          <w:rFonts w:asciiTheme="minorHAnsi" w:hAnsiTheme="minorHAnsi"/>
        </w:rPr>
      </w:pPr>
      <w:r w:rsidRPr="00AF3650">
        <w:rPr>
          <w:rFonts w:asciiTheme="minorHAnsi" w:hAnsiTheme="minorHAnsi"/>
        </w:rPr>
        <w:t>Lei Federal nº 14.133/2021 (nova Lei de Licitações e Contratos Administrativos), Decreto Federal nº 10.947/2022 e demais normativos aplicáveis.</w:t>
      </w:r>
    </w:p>
    <w:p w:rsidR="004C1778" w:rsidRDefault="004C1778" w:rsidP="00AF3650">
      <w:pPr>
        <w:rPr>
          <w:rFonts w:asciiTheme="minorHAnsi" w:hAnsiTheme="minorHAnsi"/>
        </w:rPr>
      </w:pP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4. ESPECIFICAÇÕES E QUANTITATIVOS ESTIMADOS</w:t>
      </w:r>
    </w:p>
    <w:p w:rsid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Segue a descrição técnica detalhada, com especificações mínimas, valores e estimativas:</w:t>
      </w:r>
    </w:p>
    <w:p w:rsidR="004C1778" w:rsidRPr="00AF3650" w:rsidRDefault="004C1778" w:rsidP="00AF3650">
      <w:pPr>
        <w:rPr>
          <w:rFonts w:asciiTheme="minorHAnsi" w:hAnsiTheme="minorHAns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9"/>
        <w:gridCol w:w="66"/>
        <w:gridCol w:w="66"/>
        <w:gridCol w:w="66"/>
        <w:gridCol w:w="66"/>
        <w:gridCol w:w="81"/>
      </w:tblGrid>
      <w:tr w:rsidR="00AF3650" w:rsidRPr="00AF3650" w:rsidTr="004C1778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Tabelacomgrade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64"/>
              <w:gridCol w:w="3184"/>
              <w:gridCol w:w="1247"/>
              <w:gridCol w:w="875"/>
              <w:gridCol w:w="738"/>
              <w:gridCol w:w="1026"/>
            </w:tblGrid>
            <w:tr w:rsidR="004C1778" w:rsidRPr="00F92DE5" w:rsidTr="009257E6">
              <w:tc>
                <w:tcPr>
                  <w:tcW w:w="25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Descrição Técnica:</w:t>
                  </w:r>
                </w:p>
              </w:tc>
              <w:tc>
                <w:tcPr>
                  <w:tcW w:w="3206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Especificações mínimas exigidas:</w:t>
                  </w:r>
                </w:p>
              </w:tc>
              <w:tc>
                <w:tcPr>
                  <w:tcW w:w="1257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Valor médio</w:t>
                  </w:r>
                </w:p>
              </w:tc>
              <w:tc>
                <w:tcPr>
                  <w:tcW w:w="8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F92DE5">
                    <w:rPr>
                      <w:rFonts w:asciiTheme="minorHAnsi" w:hAnsiTheme="minorHAnsi" w:cstheme="minorHAnsi"/>
                    </w:rPr>
                    <w:t>Qtd</w:t>
                  </w:r>
                  <w:proofErr w:type="spellEnd"/>
                  <w:r w:rsidRPr="00F92DE5">
                    <w:rPr>
                      <w:rFonts w:asciiTheme="minorHAnsi" w:hAnsiTheme="minorHAnsi" w:cstheme="minorHAnsi"/>
                    </w:rPr>
                    <w:t xml:space="preserve"> min.</w:t>
                  </w:r>
                </w:p>
              </w:tc>
              <w:tc>
                <w:tcPr>
                  <w:tcW w:w="74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F92DE5">
                    <w:rPr>
                      <w:rFonts w:asciiTheme="minorHAnsi" w:hAnsiTheme="minorHAnsi" w:cstheme="minorHAnsi"/>
                    </w:rPr>
                    <w:t>Qtd</w:t>
                  </w:r>
                  <w:proofErr w:type="spellEnd"/>
                  <w:r w:rsidRPr="00F92DE5">
                    <w:rPr>
                      <w:rFonts w:asciiTheme="minorHAnsi" w:hAnsiTheme="minorHAnsi" w:cstheme="minorHAnsi"/>
                    </w:rPr>
                    <w:t xml:space="preserve"> máx.</w:t>
                  </w:r>
                </w:p>
              </w:tc>
              <w:tc>
                <w:tcPr>
                  <w:tcW w:w="996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Total</w:t>
                  </w:r>
                  <w:r>
                    <w:rPr>
                      <w:rFonts w:asciiTheme="minorHAnsi" w:hAnsiTheme="minorHAnsi" w:cstheme="minorHAnsi"/>
                    </w:rPr>
                    <w:t xml:space="preserve"> R$</w:t>
                  </w:r>
                </w:p>
              </w:tc>
            </w:tr>
            <w:tr w:rsidR="004C1778" w:rsidRPr="00F92DE5" w:rsidTr="009257E6">
              <w:tc>
                <w:tcPr>
                  <w:tcW w:w="25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Oftalmoscópio</w:t>
                  </w:r>
                  <w:r w:rsidRPr="00F92DE5">
                    <w:rPr>
                      <w:rFonts w:asciiTheme="minorHAnsi" w:hAnsiTheme="minorHAnsi" w:cstheme="minorHAnsi"/>
                    </w:rPr>
                    <w:t xml:space="preserve"> - Aparelho oftalmológico portátil destinado à visualização do fundo de olho (retina), nervo óptico e vasos da retina, para exames oftalmológicos de rotina ou especializados, de uso em consultórios, unidades de saúde e atendimentos em domicílio.</w:t>
                  </w:r>
                </w:p>
              </w:tc>
              <w:tc>
                <w:tcPr>
                  <w:tcW w:w="3206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Tipo: Oftalmoscópio direto portátil.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Fonte de alimentação: por bateria recarregável ou 2 pilhas tipo AA (devem ser incluídas no fornecimento).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Iluminação: LED ou halógena branca de alto brilho, com intensidade de luz regulável.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Lentes: mínimo de 20 lentes de correção dióptrica, com faixa de -20D a +20D ou superior.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Cabeça: fabricada em material resistente, com design ergonômico e sistema de ventilação que impeça o aquecimento excessivo.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Filtro: com filtro de correção de luz vermelha (filtro vermelho-verde ou azul cobalto), para melhor visualização de vasos e estruturas retinianas.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Controle: sistema de foco por disco rotatório, com seletor de abertura </w:t>
                  </w:r>
                  <w:r w:rsidRPr="00F92DE5">
                    <w:rPr>
                      <w:rFonts w:asciiTheme="minorHAnsi" w:hAnsiTheme="minorHAnsi" w:cstheme="minorHAnsi"/>
                    </w:rPr>
                    <w:lastRenderedPageBreak/>
                    <w:t>para diferentes tipos de exame (</w:t>
                  </w:r>
                  <w:proofErr w:type="spellStart"/>
                  <w:r w:rsidRPr="00F92DE5">
                    <w:rPr>
                      <w:rFonts w:asciiTheme="minorHAnsi" w:hAnsiTheme="minorHAnsi" w:cstheme="minorHAnsi"/>
                    </w:rPr>
                    <w:t>ex</w:t>
                  </w:r>
                  <w:proofErr w:type="spellEnd"/>
                  <w:r w:rsidRPr="00F92DE5">
                    <w:rPr>
                      <w:rFonts w:asciiTheme="minorHAnsi" w:hAnsiTheme="minorHAnsi" w:cstheme="minorHAnsi"/>
                    </w:rPr>
                    <w:t>: ponto pequeno, grande, fenda, filtro livre de reflexo etc.).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Corpo: anatômico, em material resistente à limpeza e desinfecção hospitalar.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Acompanha: estojo rígido para transporte e armazenamento; manual de instruções em português; certificado de garantia mínima de 12 meses.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Registro na Anvisa: obrigatório (apresentar número válido do registro ou cadastro do produto como equipamento médico-hospitalar).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 Garantia mínima: 12 (doze) meses contra defeitos de fabricação.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lastRenderedPageBreak/>
                    <w:t>R$ 867,29</w:t>
                  </w:r>
                </w:p>
              </w:tc>
              <w:tc>
                <w:tcPr>
                  <w:tcW w:w="88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01</w:t>
                  </w:r>
                </w:p>
              </w:tc>
              <w:tc>
                <w:tcPr>
                  <w:tcW w:w="74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05</w:t>
                  </w:r>
                </w:p>
              </w:tc>
              <w:tc>
                <w:tcPr>
                  <w:tcW w:w="996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4.336,45</w:t>
                  </w:r>
                </w:p>
              </w:tc>
            </w:tr>
            <w:tr w:rsidR="004C1778" w:rsidRPr="00F92DE5" w:rsidTr="009257E6">
              <w:tc>
                <w:tcPr>
                  <w:tcW w:w="25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lastRenderedPageBreak/>
                    <w:t>Garrote</w:t>
                  </w:r>
                  <w:r>
                    <w:rPr>
                      <w:rFonts w:asciiTheme="minorHAnsi" w:hAnsiTheme="minorHAnsi" w:cstheme="minorHAnsi"/>
                    </w:rPr>
                    <w:t xml:space="preserve"> - </w:t>
                  </w:r>
                  <w:r w:rsidRPr="00F92DE5">
                    <w:rPr>
                      <w:rFonts w:asciiTheme="minorHAnsi" w:hAnsiTheme="minorHAnsi" w:cstheme="minorHAnsi"/>
                    </w:rPr>
                    <w:t>Dispositivo utilizado para compressão temporária de membros superiores ou inferiores, com o objetivo de interromper o fluxo sanguíneo venoso superficial, facilitando a punção venosa para coleta de sangue ou administração de medicamentos.</w:t>
                  </w:r>
                </w:p>
              </w:tc>
              <w:tc>
                <w:tcPr>
                  <w:tcW w:w="3206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Tipo: garrote hemostático reutilizável com fecho tipo fivela ou trava de liberação rápida (</w:t>
                  </w:r>
                  <w:proofErr w:type="spellStart"/>
                  <w:r w:rsidRPr="00F92DE5">
                    <w:rPr>
                      <w:rFonts w:asciiTheme="minorHAnsi" w:hAnsiTheme="minorHAnsi" w:cstheme="minorHAnsi"/>
                    </w:rPr>
                    <w:t>quick</w:t>
                  </w:r>
                  <w:proofErr w:type="spellEnd"/>
                  <w:r w:rsidRPr="00F92DE5">
                    <w:rPr>
                      <w:rFonts w:asciiTheme="minorHAnsi" w:hAnsiTheme="minorHAnsi" w:cstheme="minorHAnsi"/>
                    </w:rPr>
                    <w:t xml:space="preserve"> release);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Aplicação: uso adulto, para membros superiores;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Composição: tira elástica de borracha ou material sintético com boa elasticidade e resistência à tração;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Dimensões: comprimento mínimo de 40 cm e largura de 2 a 2,5 cm;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Fecho: sistema de trava plástica com ajuste de pressão e liberação rápida com apenas uma mão;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Material do fecho: plástico atóxico e resistente a quedas e uso contínuo;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Características do elástico: superfície lisa, macia, atóxica e livre de látex (</w:t>
                  </w:r>
                  <w:proofErr w:type="spellStart"/>
                  <w:r w:rsidRPr="00F92DE5">
                    <w:rPr>
                      <w:rFonts w:asciiTheme="minorHAnsi" w:hAnsiTheme="minorHAnsi" w:cstheme="minorHAnsi"/>
                    </w:rPr>
                    <w:t>latex</w:t>
                  </w:r>
                  <w:proofErr w:type="spellEnd"/>
                  <w:r w:rsidRPr="00F92DE5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F92DE5">
                    <w:rPr>
                      <w:rFonts w:asciiTheme="minorHAnsi" w:hAnsiTheme="minorHAnsi" w:cstheme="minorHAnsi"/>
                    </w:rPr>
                    <w:t>free</w:t>
                  </w:r>
                  <w:proofErr w:type="spellEnd"/>
                  <w:r w:rsidRPr="00F92DE5">
                    <w:rPr>
                      <w:rFonts w:asciiTheme="minorHAnsi" w:hAnsiTheme="minorHAnsi" w:cstheme="minorHAnsi"/>
                    </w:rPr>
                    <w:t xml:space="preserve">), </w:t>
                  </w:r>
                  <w:proofErr w:type="spellStart"/>
                  <w:r w:rsidRPr="00F92DE5">
                    <w:rPr>
                      <w:rFonts w:asciiTheme="minorHAnsi" w:hAnsiTheme="minorHAnsi" w:cstheme="minorHAnsi"/>
                    </w:rPr>
                    <w:t>hipoalergênica</w:t>
                  </w:r>
                  <w:proofErr w:type="spellEnd"/>
                  <w:r w:rsidRPr="00F92DE5">
                    <w:rPr>
                      <w:rFonts w:asciiTheme="minorHAnsi" w:hAnsiTheme="minorHAnsi" w:cstheme="minorHAnsi"/>
                    </w:rPr>
                    <w:t>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Reutilizável: sim, com capacidade de desinfecção com álcool 70%;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>Cores: variadas ou padrão azul/verde (a critério do fornecedor);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F92DE5">
                    <w:rPr>
                      <w:rFonts w:asciiTheme="minorHAnsi" w:hAnsiTheme="minorHAnsi" w:cstheme="minorHAnsi"/>
                    </w:rPr>
                    <w:t xml:space="preserve">Acondicionamento: cada unidade deve vir embalada individualmente, em embalagem plástica transparente e lacrada, contendo </w:t>
                  </w:r>
                  <w:r w:rsidRPr="00F92DE5">
                    <w:rPr>
                      <w:rFonts w:asciiTheme="minorHAnsi" w:hAnsiTheme="minorHAnsi" w:cstheme="minorHAnsi"/>
                    </w:rPr>
                    <w:lastRenderedPageBreak/>
                    <w:t>identificação do fabricante e do produto.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R$ 17,30</w:t>
                  </w:r>
                </w:p>
              </w:tc>
              <w:tc>
                <w:tcPr>
                  <w:tcW w:w="88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01</w:t>
                  </w:r>
                </w:p>
              </w:tc>
              <w:tc>
                <w:tcPr>
                  <w:tcW w:w="74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20</w:t>
                  </w:r>
                </w:p>
              </w:tc>
              <w:tc>
                <w:tcPr>
                  <w:tcW w:w="996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346,00</w:t>
                  </w:r>
                </w:p>
              </w:tc>
            </w:tr>
            <w:tr w:rsidR="004C1778" w:rsidRPr="00F92DE5" w:rsidTr="009257E6">
              <w:tc>
                <w:tcPr>
                  <w:tcW w:w="25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lastRenderedPageBreak/>
                    <w:t>Embalagem para esterilização em autoclave grau cirúrgico rolo 200mmx100m</w:t>
                  </w:r>
                  <w:r>
                    <w:rPr>
                      <w:rFonts w:asciiTheme="minorHAnsi" w:hAnsiTheme="minorHAnsi" w:cstheme="minorHAnsi"/>
                    </w:rPr>
                    <w:t xml:space="preserve"> - 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Material de embalagem destinado à esterilização de artigos médico-hospitalares por vapor (autoclave), assegurando a barreira microbiana e a manutenção da esterilidade até o momento do uso. Produto em rolo para selagem por </w:t>
                  </w:r>
                  <w:proofErr w:type="spellStart"/>
                  <w:r w:rsidRPr="00793ACE">
                    <w:rPr>
                      <w:rFonts w:asciiTheme="minorHAnsi" w:hAnsiTheme="minorHAnsi" w:cstheme="minorHAnsi"/>
                    </w:rPr>
                    <w:t>termosseladora</w:t>
                  </w:r>
                  <w:proofErr w:type="spellEnd"/>
                  <w:r w:rsidRPr="00793ACE">
                    <w:rPr>
                      <w:rFonts w:asciiTheme="minorHAnsi" w:hAnsiTheme="minorHAnsi" w:cstheme="minorHAnsi"/>
                    </w:rPr>
                    <w:t>, permitindo o corte no tamanho desejado conforme o instrumento a ser embalado.</w:t>
                  </w:r>
                </w:p>
              </w:tc>
              <w:tc>
                <w:tcPr>
                  <w:tcW w:w="3206" w:type="dxa"/>
                </w:tcPr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Tipo: embalagem em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rolo tubular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para esterilização grau cirúrgico;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Dimensões: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200 mm de largura x 100 metros de comprimento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(± 5%);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Composição: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Um lado em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papel grau cirúrgico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com gramatura mínima de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60 g/m²</w:t>
                  </w:r>
                  <w:r w:rsidRPr="00793ACE">
                    <w:rPr>
                      <w:rFonts w:asciiTheme="minorHAnsi" w:hAnsiTheme="minorHAnsi" w:cstheme="minorHAnsi"/>
                    </w:rPr>
                    <w:t>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Outro lado em filme plástico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poliéster/polipropileno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(PET/PP) transparente, de alta resistência térmica e mecânica;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 Indicação: compatível com esterilização a vapor saturado (autoclave) e, preferencialmente, também por óxido de etileno;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 Selagem: bordas com selos triplo de segurança, uniformes, que garantam resistência à abertura acidental e possibilitem abertura asséptica (sem liberação de partículas);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Indicadores químicos: impressos no papel grau cirúrgico, para autoclave (vapor), que mudem de cor após o processo;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Atóxica: isenta de substâncias tóxicas ou contaminantes, incluindo metais pesados e solventes voláteis;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Resistência: o material deve resistir à tração e à perfuração, mantendo a integridade da barreira microbiana após o ciclo de esterilização;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Validade: mínimo de 24 (vinte e quatro) meses a partir da data de entrega.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57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R$ 142,99</w:t>
                  </w:r>
                </w:p>
              </w:tc>
              <w:tc>
                <w:tcPr>
                  <w:tcW w:w="8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01</w:t>
                  </w:r>
                </w:p>
              </w:tc>
              <w:tc>
                <w:tcPr>
                  <w:tcW w:w="74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30</w:t>
                  </w:r>
                </w:p>
              </w:tc>
              <w:tc>
                <w:tcPr>
                  <w:tcW w:w="996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4.289,70</w:t>
                  </w:r>
                </w:p>
              </w:tc>
            </w:tr>
            <w:tr w:rsidR="004C1778" w:rsidRPr="00F92DE5" w:rsidTr="009257E6">
              <w:tc>
                <w:tcPr>
                  <w:tcW w:w="2581" w:type="dxa"/>
                </w:tcPr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Embalagem para esterilização em autoclave grau cirúrgico rolo 200mmx100m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- 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Material de embalagem destinado à esterilização de artigos médico-hospitalares por vapor (autoclave), assegurando a barreira </w:t>
                  </w:r>
                  <w:r w:rsidRPr="00793ACE">
                    <w:rPr>
                      <w:rFonts w:asciiTheme="minorHAnsi" w:hAnsiTheme="minorHAnsi" w:cstheme="minorHAnsi"/>
                    </w:rPr>
                    <w:lastRenderedPageBreak/>
                    <w:t xml:space="preserve">microbiana e a manutenção da esterilidade até o momento do uso. Produto em rolo para selagem por </w:t>
                  </w:r>
                  <w:proofErr w:type="spellStart"/>
                  <w:r w:rsidRPr="00793ACE">
                    <w:rPr>
                      <w:rFonts w:asciiTheme="minorHAnsi" w:hAnsiTheme="minorHAnsi" w:cstheme="minorHAnsi"/>
                    </w:rPr>
                    <w:t>termosseladora</w:t>
                  </w:r>
                  <w:proofErr w:type="spellEnd"/>
                  <w:r w:rsidRPr="00793ACE">
                    <w:rPr>
                      <w:rFonts w:asciiTheme="minorHAnsi" w:hAnsiTheme="minorHAnsi" w:cstheme="minorHAnsi"/>
                    </w:rPr>
                    <w:t>, permitindo o corte no tamanho desejado conforme o instrumento a ser embalado.</w:t>
                  </w:r>
                </w:p>
              </w:tc>
              <w:tc>
                <w:tcPr>
                  <w:tcW w:w="3206" w:type="dxa"/>
                </w:tcPr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lastRenderedPageBreak/>
                    <w:t xml:space="preserve">Tipo: embalagem em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rolo tubular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para esterilização grau cirúrgico;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Dimensões: </w:t>
                  </w:r>
                  <w:r>
                    <w:rPr>
                      <w:rFonts w:asciiTheme="minorHAnsi" w:hAnsiTheme="minorHAnsi" w:cstheme="minorHAnsi"/>
                    </w:rPr>
                    <w:t>15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0 mm de largura x 100 metros de comprimento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(± 5%);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Composição: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Um lado em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papel grau cirúrgico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com gramatura mínima de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60 g/m²</w:t>
                  </w:r>
                  <w:r w:rsidRPr="00793ACE">
                    <w:rPr>
                      <w:rFonts w:asciiTheme="minorHAnsi" w:hAnsiTheme="minorHAnsi" w:cstheme="minorHAnsi"/>
                    </w:rPr>
                    <w:t>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lastRenderedPageBreak/>
                    <w:t xml:space="preserve">Outro lado em filme plástico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poliéster/polipropileno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(PET/PP) transparente, de alta resistência térmica e mecânica;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 Indicação: compatível com esterilização a vapor saturado (autoclave) e, preferencialmente, também por óxido de etileno;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 Selagem: bordas com selos triplo de segurança, uniformes, que garantam resistência à abertura acidental e possibilitem abertura asséptica (sem liberação de partículas);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Indicadores químicos: impressos no papel grau cirúrgico, para autoclave (vapor), que mudem de cor após o processo;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Atóxica: isenta de substâncias tóxicas ou contaminantes, incluindo metais pesados e solventes voláteis;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Resistência: o material deve resistir à tração e à perfuração, mantendo a integridade da barreira microbiana após o ciclo de esterilização;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Validade: mínimo de 24 (vinte e quatro) meses a partir da data de entrega.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R$ 11,90</w:t>
                  </w:r>
                </w:p>
              </w:tc>
              <w:tc>
                <w:tcPr>
                  <w:tcW w:w="88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01</w:t>
                  </w:r>
                </w:p>
              </w:tc>
              <w:tc>
                <w:tcPr>
                  <w:tcW w:w="74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30</w:t>
                  </w:r>
                </w:p>
              </w:tc>
              <w:tc>
                <w:tcPr>
                  <w:tcW w:w="996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3.3357</w:t>
                  </w:r>
                </w:p>
              </w:tc>
            </w:tr>
            <w:tr w:rsidR="004C1778" w:rsidRPr="00F92DE5" w:rsidTr="009257E6">
              <w:tc>
                <w:tcPr>
                  <w:tcW w:w="25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lastRenderedPageBreak/>
                    <w:t>Reanimador Manual Adulto Tipo AMBU (Bolsa-Válvula-Máscara)</w:t>
                  </w:r>
                  <w:r>
                    <w:rPr>
                      <w:rFonts w:asciiTheme="minorHAnsi" w:hAnsiTheme="minorHAnsi" w:cstheme="minorHAnsi"/>
                    </w:rPr>
                    <w:t xml:space="preserve"> - 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Equipamento manual utilizado para ventilação pulmonar de pacientes adultos em parada cardiorrespiratória ou em situações de insuficiência respiratória aguda, emergências médicas e transporte </w:t>
                  </w:r>
                  <w:proofErr w:type="spellStart"/>
                  <w:r w:rsidRPr="00793ACE">
                    <w:rPr>
                      <w:rFonts w:asciiTheme="minorHAnsi" w:hAnsiTheme="minorHAnsi" w:cstheme="minorHAnsi"/>
                    </w:rPr>
                    <w:t>intra</w:t>
                  </w:r>
                  <w:proofErr w:type="spellEnd"/>
                  <w:r w:rsidRPr="00793ACE">
                    <w:rPr>
                      <w:rFonts w:asciiTheme="minorHAnsi" w:hAnsiTheme="minorHAnsi" w:cstheme="minorHAnsi"/>
                    </w:rPr>
                    <w:t xml:space="preserve"> ou </w:t>
                  </w:r>
                  <w:proofErr w:type="spellStart"/>
                  <w:r w:rsidRPr="00793ACE">
                    <w:rPr>
                      <w:rFonts w:asciiTheme="minorHAnsi" w:hAnsiTheme="minorHAnsi" w:cstheme="minorHAnsi"/>
                    </w:rPr>
                    <w:t>extrahospitalar</w:t>
                  </w:r>
                  <w:proofErr w:type="spellEnd"/>
                  <w:r w:rsidRPr="00793ACE">
                    <w:rPr>
                      <w:rFonts w:asciiTheme="minorHAnsi" w:hAnsiTheme="minorHAnsi" w:cstheme="minorHAnsi"/>
                    </w:rPr>
                    <w:t>. Composto por sistema de bolsa, válvula e máscara facial, possibilitando ventilação eficaz com ar ambiente ou oxigênio suplementar.</w:t>
                  </w:r>
                </w:p>
              </w:tc>
              <w:tc>
                <w:tcPr>
                  <w:tcW w:w="3206" w:type="dxa"/>
                </w:tcPr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Faixa etária de uso: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adulto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(pacientes com peso corporal acima de 30 kg);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Capacidade da bolsa: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 xml:space="preserve">mínimo de 1500 </w:t>
                  </w:r>
                  <w:proofErr w:type="spellStart"/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mL</w:t>
                  </w:r>
                  <w:proofErr w:type="spellEnd"/>
                  <w:r w:rsidRPr="00793ACE">
                    <w:rPr>
                      <w:rFonts w:asciiTheme="minorHAnsi" w:hAnsiTheme="minorHAnsi" w:cstheme="minorHAnsi"/>
                    </w:rPr>
                    <w:t xml:space="preserve"> (± 10%);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Tipo: Reanimador manual tipo bolsa-válvula-máscara (BVM), </w:t>
                  </w:r>
                  <w:proofErr w:type="spellStart"/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autoinflável</w:t>
                  </w:r>
                  <w:proofErr w:type="spellEnd"/>
                  <w:r w:rsidRPr="00793ACE">
                    <w:rPr>
                      <w:rFonts w:asciiTheme="minorHAnsi" w:hAnsiTheme="minorHAnsi" w:cstheme="minorHAnsi"/>
                    </w:rPr>
                    <w:t>, reutilizável ou descartável conforme modelo;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Válvula: unidirecional com sistema de não </w:t>
                  </w:r>
                  <w:proofErr w:type="spellStart"/>
                  <w:r w:rsidRPr="00793ACE">
                    <w:rPr>
                      <w:rFonts w:asciiTheme="minorHAnsi" w:hAnsiTheme="minorHAnsi" w:cstheme="minorHAnsi"/>
                    </w:rPr>
                    <w:t>reinalação</w:t>
                  </w:r>
                  <w:proofErr w:type="spellEnd"/>
                  <w:r w:rsidRPr="00793ACE">
                    <w:rPr>
                      <w:rFonts w:asciiTheme="minorHAnsi" w:hAnsiTheme="minorHAnsi" w:cstheme="minorHAnsi"/>
                    </w:rPr>
                    <w:t>, com fácil desmontagem para limpeza e desinfecção (se reutilizável);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Máscara facial: em silicone ou PVC transparente, tamanho adulto, com borda inflável ou anatômica para vedação eficiente;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Reservatório: acompanha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reservatório flexível de oxigênio</w:t>
                  </w:r>
                  <w:r w:rsidRPr="00793ACE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793ACE">
                    <w:rPr>
                      <w:rFonts w:asciiTheme="minorHAnsi" w:hAnsiTheme="minorHAnsi" w:cstheme="minorHAnsi"/>
                    </w:rPr>
                    <w:lastRenderedPageBreak/>
                    <w:t>(tipo bexiga ou bolsa) e tubo de conexão para fonte de oxigênio;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 xml:space="preserve">Conectores: com padrão 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>universal 15 mm/22 mm</w:t>
                  </w:r>
                  <w:r w:rsidRPr="00793ACE">
                    <w:rPr>
                      <w:rFonts w:asciiTheme="minorHAnsi" w:hAnsiTheme="minorHAnsi" w:cstheme="minorHAnsi"/>
                    </w:rPr>
                    <w:t>, compatível com máscaras e traqueias;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Fluxo de O₂: deve permitir administração de oxigênio suplementar com concentração ≥ 85%, quando conectado ao reservatório;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Material: atóxico, livre de látex, resistente à esterilização (no caso de modelos reutilizáveis);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Transparência: partes transparentes para visualização de condensação e secreções;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Ergonomia: válvula e bolsa devem permitir operação com uma ou duas mãos;</w:t>
                  </w:r>
                </w:p>
                <w:p w:rsidR="004C1778" w:rsidRPr="00793ACE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</w:rPr>
                    <w:t>Acondicionamento: fornecido em embalagem individual, com manual de instruções em português.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R$ 239,59</w:t>
                  </w:r>
                </w:p>
              </w:tc>
              <w:tc>
                <w:tcPr>
                  <w:tcW w:w="88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01</w:t>
                  </w:r>
                </w:p>
              </w:tc>
              <w:tc>
                <w:tcPr>
                  <w:tcW w:w="74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06</w:t>
                  </w:r>
                </w:p>
              </w:tc>
              <w:tc>
                <w:tcPr>
                  <w:tcW w:w="996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1.437,45</w:t>
                  </w:r>
                </w:p>
              </w:tc>
            </w:tr>
            <w:tr w:rsidR="004C1778" w:rsidRPr="00F92DE5" w:rsidTr="009257E6">
              <w:tc>
                <w:tcPr>
                  <w:tcW w:w="25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lastRenderedPageBreak/>
                    <w:t xml:space="preserve">Reanimador Manual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Infantil</w:t>
                  </w:r>
                  <w:r w:rsidRPr="00793ACE">
                    <w:rPr>
                      <w:rFonts w:asciiTheme="minorHAnsi" w:hAnsiTheme="minorHAnsi" w:cstheme="minorHAnsi"/>
                      <w:b/>
                      <w:bCs/>
                    </w:rPr>
                    <w:t xml:space="preserve"> Tipo AMBU (Bolsa-Válvula-Máscara)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-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 xml:space="preserve">Equipamento manual destinado à ventilação pulmonar em pacientes pediátricos (crianças entre 7 e 30 kg), utilizado em situações de emergência, reanimação cardiorrespiratória, suporte ventilatório temporário e transporte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intra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 xml:space="preserve"> ou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extrahospitalar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 xml:space="preserve">. É composto por sistema de bolsa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autoinflável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, válvula unidirecional e máscara facial adequada à faixa etária.</w:t>
                  </w:r>
                </w:p>
              </w:tc>
              <w:tc>
                <w:tcPr>
                  <w:tcW w:w="3206" w:type="dxa"/>
                </w:tcPr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proofErr w:type="gramStart"/>
                  <w:r w:rsidRPr="00331EF3">
                    <w:rPr>
                      <w:rFonts w:asciiTheme="minorHAnsi" w:hAnsiTheme="minorHAnsi" w:cstheme="minorHAnsi"/>
                    </w:rPr>
                    <w:t>  Faixa</w:t>
                  </w:r>
                  <w:proofErr w:type="gramEnd"/>
                  <w:r w:rsidRPr="00331EF3">
                    <w:rPr>
                      <w:rFonts w:asciiTheme="minorHAnsi" w:hAnsiTheme="minorHAnsi" w:cstheme="minorHAnsi"/>
                    </w:rPr>
                    <w:t xml:space="preserve"> etária de uso: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infantil</w:t>
                  </w:r>
                  <w:r w:rsidRPr="00331EF3">
                    <w:rPr>
                      <w:rFonts w:asciiTheme="minorHAnsi" w:hAnsiTheme="minorHAnsi" w:cstheme="minorHAnsi"/>
                    </w:rPr>
                    <w:t xml:space="preserve"> (peso entre 7 kg e 30 kg);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proofErr w:type="gramStart"/>
                  <w:r w:rsidRPr="00331EF3">
                    <w:rPr>
                      <w:rFonts w:asciiTheme="minorHAnsi" w:hAnsiTheme="minorHAnsi" w:cstheme="minorHAnsi"/>
                    </w:rPr>
                    <w:t>  Capacidade</w:t>
                  </w:r>
                  <w:proofErr w:type="gramEnd"/>
                  <w:r w:rsidRPr="00331EF3">
                    <w:rPr>
                      <w:rFonts w:asciiTheme="minorHAnsi" w:hAnsiTheme="minorHAnsi" w:cstheme="minorHAnsi"/>
                    </w:rPr>
                    <w:t xml:space="preserve"> da bolsa: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 xml:space="preserve">mínimo de 500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mL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 xml:space="preserve"> e máximo de 1000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mL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</w:rPr>
                    <w:t>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Tipo: reanimador manual tipo bolsa-válvula-máscara (BVM),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autoinflável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</w:rPr>
                    <w:t>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Válvula: unidirecional com sistema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</w:rPr>
                    <w:t>antirrefluxo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</w:rPr>
                    <w:t xml:space="preserve"> (não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</w:rPr>
                    <w:t>reinalação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</w:rPr>
                    <w:t>), desmontável para limpeza (se reutilizável);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Máscara: tamanho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infantil</w:t>
                  </w:r>
                  <w:r w:rsidRPr="00331EF3">
                    <w:rPr>
                      <w:rFonts w:asciiTheme="minorHAnsi" w:hAnsiTheme="minorHAnsi" w:cstheme="minorHAnsi"/>
                    </w:rPr>
                    <w:t>, em PVC ou silicone transparente, anatômica e livre de látex, com vedação eficiente;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Reservatório de oxigênio: acompanha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bexiga ou bolsa de reservatório de oxigênio</w:t>
                  </w:r>
                  <w:r w:rsidRPr="00331EF3">
                    <w:rPr>
                      <w:rFonts w:asciiTheme="minorHAnsi" w:hAnsiTheme="minorHAnsi" w:cstheme="minorHAnsi"/>
                    </w:rPr>
                    <w:t xml:space="preserve"> e tubo de conexão para fonte de O₂;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Conectores: padrão universal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15 mm / 22 mm</w:t>
                  </w:r>
                  <w:r w:rsidRPr="00331EF3">
                    <w:rPr>
                      <w:rFonts w:asciiTheme="minorHAnsi" w:hAnsiTheme="minorHAnsi" w:cstheme="minorHAnsi"/>
                    </w:rPr>
                    <w:t>, compatível com máscaras e demais dispositivos;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>Concentração de O₂: ≥ 85% com o uso do reservatório;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Material: atóxico, livre de látex, biocompatível e com resistência a </w:t>
                  </w:r>
                  <w:r w:rsidRPr="00331EF3">
                    <w:rPr>
                      <w:rFonts w:asciiTheme="minorHAnsi" w:hAnsiTheme="minorHAnsi" w:cstheme="minorHAnsi"/>
                    </w:rPr>
                    <w:lastRenderedPageBreak/>
                    <w:t>desinfecção (no caso de modelos reutilizáveis);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>Operação: design ergonômico, que permita ventilação com uma ou duas mãos;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>Transparência: partes transparentes para visualização de condensação e secreções;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>Acondicionamento: embalado individualmente com identificação do fabricante, lote, validade e instruções de uso em português.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57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R$ 162,57</w:t>
                  </w:r>
                </w:p>
              </w:tc>
              <w:tc>
                <w:tcPr>
                  <w:tcW w:w="8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01</w:t>
                  </w:r>
                </w:p>
              </w:tc>
              <w:tc>
                <w:tcPr>
                  <w:tcW w:w="74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06</w:t>
                  </w:r>
                </w:p>
              </w:tc>
              <w:tc>
                <w:tcPr>
                  <w:tcW w:w="996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975,42</w:t>
                  </w:r>
                </w:p>
              </w:tc>
            </w:tr>
            <w:tr w:rsidR="004C1778" w:rsidRPr="00F92DE5" w:rsidTr="009257E6">
              <w:tc>
                <w:tcPr>
                  <w:tcW w:w="2581" w:type="dxa"/>
                </w:tcPr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lastRenderedPageBreak/>
                    <w:t>Reanimador Manual Neonatal Tipo AMBU (Bolsa-Válvula-Máscara)</w:t>
                  </w:r>
                  <w:r w:rsidRPr="007D79E7">
                    <w:rPr>
                      <w:rFonts w:asciiTheme="minorHAnsi" w:hAnsiTheme="minorHAnsi" w:cstheme="minorHAnsi"/>
                    </w:rPr>
                    <w:t xml:space="preserve"> - Equipamento manual utilizado para ventilação pulmonar em recém-nascidos (até 7 kg), especialmente em situações de reanimação neonatal, emergências respiratórias e transporte </w:t>
                  </w:r>
                  <w:proofErr w:type="spellStart"/>
                  <w:r w:rsidRPr="007D79E7">
                    <w:rPr>
                      <w:rFonts w:asciiTheme="minorHAnsi" w:hAnsiTheme="minorHAnsi" w:cstheme="minorHAnsi"/>
                    </w:rPr>
                    <w:t>intra</w:t>
                  </w:r>
                  <w:proofErr w:type="spellEnd"/>
                  <w:r w:rsidRPr="007D79E7">
                    <w:rPr>
                      <w:rFonts w:asciiTheme="minorHAnsi" w:hAnsiTheme="minorHAnsi" w:cstheme="minorHAnsi"/>
                    </w:rPr>
                    <w:t xml:space="preserve"> ou </w:t>
                  </w:r>
                  <w:proofErr w:type="spellStart"/>
                  <w:r w:rsidRPr="007D79E7">
                    <w:rPr>
                      <w:rFonts w:asciiTheme="minorHAnsi" w:hAnsiTheme="minorHAnsi" w:cstheme="minorHAnsi"/>
                    </w:rPr>
                    <w:t>extrahospitalar</w:t>
                  </w:r>
                  <w:proofErr w:type="spellEnd"/>
                  <w:r w:rsidRPr="007D79E7">
                    <w:rPr>
                      <w:rFonts w:asciiTheme="minorHAnsi" w:hAnsiTheme="minorHAnsi" w:cstheme="minorHAnsi"/>
                    </w:rPr>
                    <w:t xml:space="preserve">. Composto por bolsa </w:t>
                  </w:r>
                  <w:proofErr w:type="spellStart"/>
                  <w:r w:rsidRPr="007D79E7">
                    <w:rPr>
                      <w:rFonts w:asciiTheme="minorHAnsi" w:hAnsiTheme="minorHAnsi" w:cstheme="minorHAnsi"/>
                    </w:rPr>
                    <w:t>autoinflável</w:t>
                  </w:r>
                  <w:proofErr w:type="spellEnd"/>
                  <w:r w:rsidRPr="007D79E7">
                    <w:rPr>
                      <w:rFonts w:asciiTheme="minorHAnsi" w:hAnsiTheme="minorHAnsi" w:cstheme="minorHAnsi"/>
                    </w:rPr>
                    <w:t>, válvula unidirecional e máscara facial de tamanho neonatal, permite ventilação com ar ambiente ou oxigênio suplementar.</w:t>
                  </w:r>
                </w:p>
              </w:tc>
              <w:tc>
                <w:tcPr>
                  <w:tcW w:w="3206" w:type="dxa"/>
                </w:tcPr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 xml:space="preserve">Faixa etária de uso: </w:t>
                  </w:r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>neonatal</w:t>
                  </w:r>
                  <w:r w:rsidRPr="007D79E7">
                    <w:rPr>
                      <w:rFonts w:asciiTheme="minorHAnsi" w:hAnsiTheme="minorHAnsi" w:cstheme="minorHAnsi"/>
                    </w:rPr>
                    <w:t xml:space="preserve"> (recém-nascidos com peso inferior a 7 kg);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 xml:space="preserve">Capacidade da bolsa: </w:t>
                  </w:r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 xml:space="preserve">mínimo de 250 </w:t>
                  </w:r>
                  <w:proofErr w:type="spellStart"/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>mL</w:t>
                  </w:r>
                  <w:proofErr w:type="spellEnd"/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 xml:space="preserve"> e máximo de 500 </w:t>
                  </w:r>
                  <w:proofErr w:type="spellStart"/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>mL</w:t>
                  </w:r>
                  <w:proofErr w:type="spellEnd"/>
                  <w:r w:rsidRPr="007D79E7">
                    <w:rPr>
                      <w:rFonts w:asciiTheme="minorHAnsi" w:hAnsiTheme="minorHAnsi" w:cstheme="minorHAnsi"/>
                    </w:rPr>
                    <w:t>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 xml:space="preserve">Tipo: reanimador manual tipo bolsa-válvula-máscara (BVM), </w:t>
                  </w:r>
                  <w:proofErr w:type="spellStart"/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>autoinflável</w:t>
                  </w:r>
                  <w:proofErr w:type="spellEnd"/>
                  <w:r w:rsidRPr="007D79E7">
                    <w:rPr>
                      <w:rFonts w:asciiTheme="minorHAnsi" w:hAnsiTheme="minorHAnsi" w:cstheme="minorHAnsi"/>
                    </w:rPr>
                    <w:t>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 xml:space="preserve">Válvula: unidirecional, com sistema de não </w:t>
                  </w:r>
                  <w:proofErr w:type="spellStart"/>
                  <w:r w:rsidRPr="007D79E7">
                    <w:rPr>
                      <w:rFonts w:asciiTheme="minorHAnsi" w:hAnsiTheme="minorHAnsi" w:cstheme="minorHAnsi"/>
                    </w:rPr>
                    <w:t>reinalação</w:t>
                  </w:r>
                  <w:proofErr w:type="spellEnd"/>
                  <w:r w:rsidRPr="007D79E7">
                    <w:rPr>
                      <w:rFonts w:asciiTheme="minorHAnsi" w:hAnsiTheme="minorHAnsi" w:cstheme="minorHAnsi"/>
                    </w:rPr>
                    <w:t>, desmontável para higienização (em modelos reutilizáveis);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 xml:space="preserve">Máscara: tamanho </w:t>
                  </w:r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>neonatal</w:t>
                  </w:r>
                  <w:r w:rsidRPr="007D79E7">
                    <w:rPr>
                      <w:rFonts w:asciiTheme="minorHAnsi" w:hAnsiTheme="minorHAnsi" w:cstheme="minorHAnsi"/>
                    </w:rPr>
                    <w:t>, confeccionada em PVC ou silicone transparente, com bordas anatômicas para vedação eficaz e livre de látex;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 xml:space="preserve">Reservatório de oxigênio: acompanha </w:t>
                  </w:r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>reservatório flexível (bexiga ou bolsa)</w:t>
                  </w:r>
                  <w:r w:rsidRPr="007D79E7">
                    <w:rPr>
                      <w:rFonts w:asciiTheme="minorHAnsi" w:hAnsiTheme="minorHAnsi" w:cstheme="minorHAnsi"/>
                    </w:rPr>
                    <w:t xml:space="preserve"> e tubo para conexão à fonte de oxigênio;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 xml:space="preserve">Conectores: padrão universal </w:t>
                  </w:r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>15 mm / 22 mm</w:t>
                  </w:r>
                  <w:r w:rsidRPr="007D79E7">
                    <w:rPr>
                      <w:rFonts w:asciiTheme="minorHAnsi" w:hAnsiTheme="minorHAnsi" w:cstheme="minorHAnsi"/>
                    </w:rPr>
                    <w:t>, compatível com equipamentos e dispositivos respiratórios;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>Concentração de oxigênio: capacidade de fornecer ≥ 85% de O₂ com reservatório conectado;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 xml:space="preserve">Material: </w:t>
                  </w:r>
                  <w:r w:rsidRPr="007D79E7">
                    <w:rPr>
                      <w:rFonts w:asciiTheme="minorHAnsi" w:hAnsiTheme="minorHAnsi" w:cstheme="minorHAnsi"/>
                      <w:b/>
                      <w:bCs/>
                    </w:rPr>
                    <w:t>atóxico, livre de látex</w:t>
                  </w:r>
                  <w:r w:rsidRPr="007D79E7">
                    <w:rPr>
                      <w:rFonts w:asciiTheme="minorHAnsi" w:hAnsiTheme="minorHAnsi" w:cstheme="minorHAnsi"/>
                    </w:rPr>
                    <w:t>, biocompatível, com resistência à desinfecção quando aplicável (modelos reutilizáveis);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>Transparência: partes transparentes para visualização de secreções ou condensação;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lastRenderedPageBreak/>
                    <w:t>Ergonomia: design que permita ventilação com uma ou duas mãos com operação segura e eficiente;</w:t>
                  </w:r>
                </w:p>
                <w:p w:rsidR="004C1778" w:rsidRPr="007D79E7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7D79E7">
                    <w:rPr>
                      <w:rFonts w:asciiTheme="minorHAnsi" w:hAnsiTheme="minorHAnsi" w:cstheme="minorHAnsi"/>
                    </w:rPr>
                    <w:t>Acondicionamento: embalagem individual com informações legíveis (marca, modelo, fabricante, lote, validade e instruções em português).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:rsidR="004C1778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R$ 189,21</w:t>
                  </w:r>
                </w:p>
              </w:tc>
              <w:tc>
                <w:tcPr>
                  <w:tcW w:w="881" w:type="dxa"/>
                  <w:vAlign w:val="center"/>
                </w:tcPr>
                <w:p w:rsidR="004C1778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01</w:t>
                  </w:r>
                </w:p>
              </w:tc>
              <w:tc>
                <w:tcPr>
                  <w:tcW w:w="741" w:type="dxa"/>
                  <w:vAlign w:val="center"/>
                </w:tcPr>
                <w:p w:rsidR="004C1778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06</w:t>
                  </w:r>
                </w:p>
              </w:tc>
              <w:tc>
                <w:tcPr>
                  <w:tcW w:w="996" w:type="dxa"/>
                  <w:vAlign w:val="center"/>
                </w:tcPr>
                <w:p w:rsidR="004C1778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1.135,26</w:t>
                  </w:r>
                </w:p>
              </w:tc>
            </w:tr>
            <w:tr w:rsidR="004C1778" w:rsidRPr="00F92DE5" w:rsidTr="009257E6">
              <w:tc>
                <w:tcPr>
                  <w:tcW w:w="2581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lastRenderedPageBreak/>
                    <w:t>Eletrodo Adesivo para Eletrocardiograma (ECG)</w:t>
                  </w:r>
                  <w:r>
                    <w:rPr>
                      <w:rFonts w:asciiTheme="minorHAnsi" w:hAnsiTheme="minorHAnsi" w:cstheme="minorHAnsi"/>
                    </w:rPr>
                    <w:t xml:space="preserve"> - </w:t>
                  </w:r>
                  <w:r w:rsidRPr="00331EF3">
                    <w:rPr>
                      <w:rFonts w:asciiTheme="minorHAnsi" w:hAnsiTheme="minorHAnsi" w:cstheme="minorHAnsi"/>
                    </w:rPr>
                    <w:t xml:space="preserve">Dispositivo descartável utilizado para captação de sinais elétricos do coração, por meio da pele, durante exames de eletrocardiograma (ECG), garantindo a condução eficaz dos sinais bioelétricos com boa fixação e conforto ao paciente. Compatível com equipamentos de ECG e monitores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</w:rPr>
                    <w:t>multiparâmetros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</w:rPr>
                    <w:t>.</w:t>
                  </w:r>
                </w:p>
              </w:tc>
              <w:tc>
                <w:tcPr>
                  <w:tcW w:w="3206" w:type="dxa"/>
                </w:tcPr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Tipo: eletrodo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adesivo descartável</w:t>
                  </w:r>
                  <w:r w:rsidRPr="00331EF3">
                    <w:rPr>
                      <w:rFonts w:asciiTheme="minorHAnsi" w:hAnsiTheme="minorHAnsi" w:cstheme="minorHAnsi"/>
                    </w:rPr>
                    <w:t xml:space="preserve"> com gel condutor;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Formato: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redondo ou oval</w:t>
                  </w:r>
                  <w:r w:rsidRPr="00331EF3">
                    <w:rPr>
                      <w:rFonts w:asciiTheme="minorHAnsi" w:hAnsiTheme="minorHAnsi" w:cstheme="minorHAnsi"/>
                    </w:rPr>
                    <w:t>, com área de contato mínima de 20 mm;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>Dimensões: diâmetro aproximado de 40 mm (± 5 mm);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>Material do eletrodo: suporte em espuma macia, flexível, hipoalergênica, com revestimento condutor;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Adesivo: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hipoalergênico</w:t>
                  </w:r>
                  <w:r w:rsidRPr="00331EF3">
                    <w:rPr>
                      <w:rFonts w:asciiTheme="minorHAnsi" w:hAnsiTheme="minorHAnsi" w:cstheme="minorHAnsi"/>
                    </w:rPr>
                    <w:t>, de alta aderência, com resistência à movimentação e à umidade durante o uso;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Gel: condutor sólido ou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</w:rPr>
                    <w:t>semi-sólido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</w:rPr>
                    <w:t xml:space="preserve">,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hidrofílico</w:t>
                  </w:r>
                  <w:r w:rsidRPr="00331EF3">
                    <w:rPr>
                      <w:rFonts w:asciiTheme="minorHAnsi" w:hAnsiTheme="minorHAnsi" w:cstheme="minorHAnsi"/>
                    </w:rPr>
                    <w:t>, com boa condutividade elétrica e sem risco de ressecamento precoce;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Conector: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encaixe tipo botão (snap)</w:t>
                  </w:r>
                  <w:r w:rsidRPr="00331EF3">
                    <w:rPr>
                      <w:rFonts w:asciiTheme="minorHAnsi" w:hAnsiTheme="minorHAnsi" w:cstheme="minorHAnsi"/>
                    </w:rPr>
                    <w:t xml:space="preserve"> em metal resistente à oxidação, compatível com cabos padrão de monitores e eletrocardiógrafos (universal);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Compatibilidade: com equipamentos de ECG e monitores </w:t>
                  </w:r>
                  <w:proofErr w:type="spellStart"/>
                  <w:r w:rsidRPr="00331EF3">
                    <w:rPr>
                      <w:rFonts w:asciiTheme="minorHAnsi" w:hAnsiTheme="minorHAnsi" w:cstheme="minorHAnsi"/>
                    </w:rPr>
                    <w:t>multiparâmetros</w:t>
                  </w:r>
                  <w:proofErr w:type="spellEnd"/>
                  <w:r w:rsidRPr="00331EF3">
                    <w:rPr>
                      <w:rFonts w:asciiTheme="minorHAnsi" w:hAnsiTheme="minorHAnsi" w:cstheme="minorHAnsi"/>
                    </w:rPr>
                    <w:t xml:space="preserve"> das principais marcas do mercado;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Validade: mínima de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24 (vinte e quatro) meses</w:t>
                  </w:r>
                  <w:r w:rsidRPr="00331EF3">
                    <w:rPr>
                      <w:rFonts w:asciiTheme="minorHAnsi" w:hAnsiTheme="minorHAnsi" w:cstheme="minorHAnsi"/>
                    </w:rPr>
                    <w:t xml:space="preserve"> a contar da data de entrega;</w:t>
                  </w:r>
                </w:p>
                <w:p w:rsidR="004C1778" w:rsidRPr="00331EF3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 w:rsidRPr="00331EF3">
                    <w:rPr>
                      <w:rFonts w:asciiTheme="minorHAnsi" w:hAnsiTheme="minorHAnsi" w:cstheme="minorHAnsi"/>
                    </w:rPr>
                    <w:t xml:space="preserve">Embalagem: em cartelas ou unidades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embaladas em pacotes com proteção contra umidade e contaminação</w:t>
                  </w:r>
                  <w:r w:rsidRPr="00331EF3">
                    <w:rPr>
                      <w:rFonts w:asciiTheme="minorHAnsi" w:hAnsiTheme="minorHAnsi" w:cstheme="minorHAnsi"/>
                    </w:rPr>
                    <w:t>, com informações legíveis (marca, modelo, lote, validade e número de registro na Anvisa).</w:t>
                  </w:r>
                  <w:r>
                    <w:rPr>
                      <w:rFonts w:asciiTheme="minorHAnsi" w:hAnsiTheme="minorHAnsi" w:cstheme="minorHAnsi"/>
                    </w:rPr>
                    <w:t xml:space="preserve"> – </w:t>
                  </w:r>
                  <w:r w:rsidRPr="00331EF3">
                    <w:rPr>
                      <w:rFonts w:asciiTheme="minorHAnsi" w:hAnsiTheme="minorHAnsi" w:cstheme="minorHAnsi"/>
                      <w:b/>
                      <w:bCs/>
                    </w:rPr>
                    <w:t>Caixa com 100 unidades.</w:t>
                  </w:r>
                </w:p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R$ 73,81</w:t>
                  </w:r>
                </w:p>
              </w:tc>
              <w:tc>
                <w:tcPr>
                  <w:tcW w:w="88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01</w:t>
                  </w:r>
                </w:p>
              </w:tc>
              <w:tc>
                <w:tcPr>
                  <w:tcW w:w="741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20</w:t>
                  </w:r>
                </w:p>
              </w:tc>
              <w:tc>
                <w:tcPr>
                  <w:tcW w:w="996" w:type="dxa"/>
                  <w:vAlign w:val="center"/>
                </w:tcPr>
                <w:p w:rsidR="004C1778" w:rsidRPr="00F92DE5" w:rsidRDefault="004C1778" w:rsidP="004C1778">
                  <w:pPr>
                    <w:jc w:val="righ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1.476,20</w:t>
                  </w:r>
                </w:p>
              </w:tc>
            </w:tr>
            <w:tr w:rsidR="004C1778" w:rsidRPr="00F92DE5" w:rsidTr="009257E6">
              <w:tc>
                <w:tcPr>
                  <w:tcW w:w="8666" w:type="dxa"/>
                  <w:gridSpan w:val="5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TOTAL</w:t>
                  </w:r>
                </w:p>
              </w:tc>
              <w:tc>
                <w:tcPr>
                  <w:tcW w:w="996" w:type="dxa"/>
                </w:tcPr>
                <w:p w:rsidR="004C1778" w:rsidRPr="00F92DE5" w:rsidRDefault="004C1778" w:rsidP="004C177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fldChar w:fldCharType="begin"/>
                  </w:r>
                  <w:r>
                    <w:rPr>
                      <w:rFonts w:asciiTheme="minorHAnsi" w:hAnsiTheme="minorHAnsi" w:cstheme="minorHAnsi"/>
                    </w:rPr>
                    <w:instrText xml:space="preserve"> =SUM(ABOVE) </w:instrText>
                  </w:r>
                  <w:r>
                    <w:rPr>
                      <w:rFonts w:asciiTheme="minorHAnsi" w:hAnsiTheme="minorHAnsi" w:cstheme="minorHAnsi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</w:rPr>
                    <w:t>47.353,48</w:t>
                  </w:r>
                  <w:r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</w:tbl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</w:tr>
      <w:tr w:rsidR="00AF3650" w:rsidRPr="00AF3650" w:rsidTr="004C1778">
        <w:trPr>
          <w:tblCellSpacing w:w="15" w:type="dxa"/>
        </w:trPr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</w:tr>
      <w:tr w:rsidR="00AF3650" w:rsidRPr="00AF3650" w:rsidTr="004C1778">
        <w:trPr>
          <w:tblCellSpacing w:w="15" w:type="dxa"/>
        </w:trPr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</w:tr>
      <w:tr w:rsidR="00AF3650" w:rsidRPr="00AF3650" w:rsidTr="004C1778">
        <w:trPr>
          <w:tblCellSpacing w:w="15" w:type="dxa"/>
        </w:trPr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</w:tr>
      <w:tr w:rsidR="00AF3650" w:rsidRPr="00AF3650" w:rsidTr="004C1778">
        <w:trPr>
          <w:tblCellSpacing w:w="15" w:type="dxa"/>
        </w:trPr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</w:tr>
      <w:tr w:rsidR="00AF3650" w:rsidRPr="00AF3650" w:rsidTr="004C1778">
        <w:trPr>
          <w:tblCellSpacing w:w="15" w:type="dxa"/>
        </w:trPr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:rsidR="00AF3650" w:rsidRPr="00AF3650" w:rsidRDefault="00AF3650" w:rsidP="00AF3650">
            <w:pPr>
              <w:rPr>
                <w:rFonts w:asciiTheme="minorHAnsi" w:hAnsiTheme="minorHAnsi"/>
              </w:rPr>
            </w:pPr>
          </w:p>
        </w:tc>
      </w:tr>
    </w:tbl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5. PRAZO E LOCAL DE ENTREGA</w:t>
      </w:r>
    </w:p>
    <w:p w:rsidR="00AF3650" w:rsidRPr="00AF3650" w:rsidRDefault="00AF3650" w:rsidP="004C1778">
      <w:pPr>
        <w:jc w:val="both"/>
        <w:rPr>
          <w:rFonts w:asciiTheme="minorHAnsi" w:hAnsiTheme="minorHAnsi"/>
        </w:rPr>
      </w:pPr>
      <w:r w:rsidRPr="00AF3650">
        <w:rPr>
          <w:rFonts w:asciiTheme="minorHAnsi" w:hAnsiTheme="minorHAnsi"/>
        </w:rPr>
        <w:t>Os produtos deverão ser entregues no Almoxarifado Central da Secretaria Municipal de Saúde, situad</w:t>
      </w:r>
      <w:r w:rsidR="004845DB">
        <w:rPr>
          <w:rFonts w:asciiTheme="minorHAnsi" w:hAnsiTheme="minorHAnsi"/>
        </w:rPr>
        <w:t>a</w:t>
      </w:r>
      <w:r w:rsidRPr="00AF3650">
        <w:rPr>
          <w:rFonts w:asciiTheme="minorHAnsi" w:hAnsiTheme="minorHAnsi"/>
        </w:rPr>
        <w:t xml:space="preserve"> na </w:t>
      </w:r>
      <w:r w:rsidR="004845DB">
        <w:rPr>
          <w:rFonts w:asciiTheme="minorHAnsi" w:hAnsiTheme="minorHAnsi"/>
        </w:rPr>
        <w:t xml:space="preserve">Rua Waldemar </w:t>
      </w:r>
      <w:proofErr w:type="spellStart"/>
      <w:r w:rsidR="004845DB">
        <w:rPr>
          <w:rFonts w:asciiTheme="minorHAnsi" w:hAnsiTheme="minorHAnsi"/>
        </w:rPr>
        <w:t>Balbé</w:t>
      </w:r>
      <w:proofErr w:type="spellEnd"/>
      <w:r w:rsidR="004845DB">
        <w:rPr>
          <w:rFonts w:asciiTheme="minorHAnsi" w:hAnsiTheme="minorHAnsi"/>
        </w:rPr>
        <w:t>, 3595, centro de Santo Antônio das Missões/RS</w:t>
      </w:r>
      <w:r w:rsidRPr="00AF3650">
        <w:rPr>
          <w:rFonts w:asciiTheme="minorHAnsi" w:hAnsiTheme="minorHAnsi"/>
        </w:rPr>
        <w:t xml:space="preserve">, no prazo máximo de </w:t>
      </w:r>
      <w:r w:rsidR="004845DB">
        <w:rPr>
          <w:rFonts w:asciiTheme="minorHAnsi" w:hAnsiTheme="minorHAnsi"/>
        </w:rPr>
        <w:t>30</w:t>
      </w:r>
      <w:r w:rsidRPr="00AF3650">
        <w:rPr>
          <w:rFonts w:asciiTheme="minorHAnsi" w:hAnsiTheme="minorHAnsi"/>
        </w:rPr>
        <w:t xml:space="preserve"> (</w:t>
      </w:r>
      <w:r w:rsidR="004845DB">
        <w:rPr>
          <w:rFonts w:asciiTheme="minorHAnsi" w:hAnsiTheme="minorHAnsi"/>
        </w:rPr>
        <w:t>trinta</w:t>
      </w:r>
      <w:r w:rsidRPr="00AF3650">
        <w:rPr>
          <w:rFonts w:asciiTheme="minorHAnsi" w:hAnsiTheme="minorHAnsi"/>
        </w:rPr>
        <w:t>) dias corridos contados da emissão da nota de empenho.</w:t>
      </w:r>
    </w:p>
    <w:p w:rsidR="004C1778" w:rsidRDefault="004C1778" w:rsidP="00AF3650">
      <w:pPr>
        <w:rPr>
          <w:rFonts w:asciiTheme="minorHAnsi" w:hAnsiTheme="minorHAnsi"/>
        </w:rPr>
      </w:pP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6. CONDIÇÕES DE RECEBIMENTO</w:t>
      </w:r>
      <w:r w:rsidR="004845DB">
        <w:rPr>
          <w:rFonts w:asciiTheme="minorHAnsi" w:hAnsiTheme="minorHAnsi"/>
        </w:rPr>
        <w:t xml:space="preserve"> e PAGAMENTO</w:t>
      </w:r>
    </w:p>
    <w:p w:rsidR="00AF3650" w:rsidRDefault="00AF3650" w:rsidP="004C1778">
      <w:pPr>
        <w:jc w:val="both"/>
        <w:rPr>
          <w:rFonts w:asciiTheme="minorHAnsi" w:hAnsiTheme="minorHAnsi"/>
        </w:rPr>
      </w:pPr>
      <w:r w:rsidRPr="00AF3650">
        <w:rPr>
          <w:rFonts w:asciiTheme="minorHAnsi" w:hAnsiTheme="minorHAnsi"/>
        </w:rPr>
        <w:t xml:space="preserve">O recebimento se dará após conferência quantitativa e qualitativa, em conformidade com as especificações constantes neste Termo. </w:t>
      </w:r>
      <w:r w:rsidRPr="00AF3650">
        <w:rPr>
          <w:rFonts w:asciiTheme="minorHAnsi" w:hAnsiTheme="minorHAnsi"/>
          <w:b/>
          <w:bCs/>
        </w:rPr>
        <w:t>Será recusado qualquer item fora dos padrões exigidos</w:t>
      </w:r>
      <w:r w:rsidRPr="00AF3650">
        <w:rPr>
          <w:rFonts w:asciiTheme="minorHAnsi" w:hAnsiTheme="minorHAnsi"/>
        </w:rPr>
        <w:t>.</w:t>
      </w:r>
    </w:p>
    <w:p w:rsidR="004845DB" w:rsidRPr="00AF3650" w:rsidRDefault="004845DB" w:rsidP="004C177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 Pagamento será efetivado pela Secretaria da Fazenda no prazo de até 30 dias após o recebimento do material.</w:t>
      </w:r>
    </w:p>
    <w:p w:rsidR="004C1778" w:rsidRDefault="004C1778" w:rsidP="00AF3650">
      <w:pPr>
        <w:rPr>
          <w:rFonts w:asciiTheme="minorHAnsi" w:hAnsiTheme="minorHAnsi"/>
        </w:rPr>
      </w:pP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7. OBRIGAÇÕES DA CONTRATADA</w:t>
      </w:r>
    </w:p>
    <w:p w:rsidR="00AF3650" w:rsidRPr="00AF3650" w:rsidRDefault="00AF3650" w:rsidP="00167967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Entregar os produtos no prazo estipulado e conforme especificações;</w:t>
      </w:r>
    </w:p>
    <w:p w:rsidR="00AF3650" w:rsidRPr="00AF3650" w:rsidRDefault="00AF3650" w:rsidP="00167967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Garantir que todos os itens sejam novos, com validade vigente e registro na ANVISA;</w:t>
      </w:r>
    </w:p>
    <w:p w:rsidR="00AF3650" w:rsidRPr="00AF3650" w:rsidRDefault="00AF3650" w:rsidP="00167967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Substituir, às suas expensas, quaisquer itens entregues com defeito ou fora das especificações.</w:t>
      </w:r>
    </w:p>
    <w:p w:rsidR="004C1778" w:rsidRDefault="004C1778" w:rsidP="00AF3650">
      <w:pPr>
        <w:rPr>
          <w:rFonts w:asciiTheme="minorHAnsi" w:hAnsiTheme="minorHAnsi"/>
        </w:rPr>
      </w:pP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8. FISCALIZAÇÃO</w:t>
      </w: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A fiscalização da execução contratual será exercida por servidor designado pela Secretaria Municipal de Saúde, conforme art. 117 da Lei 14.133/2021.</w:t>
      </w:r>
    </w:p>
    <w:p w:rsidR="004C1778" w:rsidRDefault="004C1778" w:rsidP="00AF3650">
      <w:pPr>
        <w:rPr>
          <w:rFonts w:asciiTheme="minorHAnsi" w:hAnsiTheme="minorHAnsi"/>
        </w:rPr>
      </w:pPr>
    </w:p>
    <w:p w:rsidR="00AF3650" w:rsidRP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9. ANEXOS</w:t>
      </w:r>
    </w:p>
    <w:p w:rsidR="00AF3650" w:rsidRDefault="00AF3650" w:rsidP="00AF3650">
      <w:pPr>
        <w:rPr>
          <w:rFonts w:asciiTheme="minorHAnsi" w:hAnsiTheme="minorHAnsi"/>
        </w:rPr>
      </w:pPr>
      <w:r w:rsidRPr="00AF3650">
        <w:rPr>
          <w:rFonts w:asciiTheme="minorHAnsi" w:hAnsiTheme="minorHAnsi"/>
        </w:rPr>
        <w:t>Anexo I: Estudo Técnico Preliminar</w:t>
      </w:r>
      <w:r w:rsidR="004845DB">
        <w:rPr>
          <w:rFonts w:asciiTheme="minorHAnsi" w:hAnsiTheme="minorHAnsi"/>
        </w:rPr>
        <w:t xml:space="preserve"> - </w:t>
      </w:r>
      <w:r w:rsidRPr="00AF3650">
        <w:rPr>
          <w:rFonts w:asciiTheme="minorHAnsi" w:hAnsiTheme="minorHAnsi"/>
        </w:rPr>
        <w:t xml:space="preserve"> Anexo II: Pesquisa de Preços</w:t>
      </w:r>
      <w:r w:rsidR="004845DB">
        <w:rPr>
          <w:rFonts w:asciiTheme="minorHAnsi" w:hAnsiTheme="minorHAnsi"/>
        </w:rPr>
        <w:t xml:space="preserve"> – Anexo III: Estudo da viabilidade.</w:t>
      </w:r>
    </w:p>
    <w:p w:rsidR="004845DB" w:rsidRPr="00AF3650" w:rsidRDefault="004845DB" w:rsidP="00AF3650">
      <w:pPr>
        <w:rPr>
          <w:rFonts w:asciiTheme="minorHAnsi" w:hAnsiTheme="minorHAnsi"/>
        </w:rPr>
      </w:pPr>
    </w:p>
    <w:p w:rsidR="00AF3650" w:rsidRDefault="00AF3650" w:rsidP="004845DB">
      <w:pPr>
        <w:jc w:val="right"/>
        <w:rPr>
          <w:rFonts w:asciiTheme="minorHAnsi" w:hAnsiTheme="minorHAnsi"/>
        </w:rPr>
      </w:pPr>
      <w:r w:rsidRPr="00AF3650">
        <w:rPr>
          <w:rFonts w:asciiTheme="minorHAnsi" w:hAnsiTheme="minorHAnsi"/>
        </w:rPr>
        <w:t xml:space="preserve">Santo Antônio das Missões, </w:t>
      </w:r>
      <w:r w:rsidR="004845DB">
        <w:rPr>
          <w:rFonts w:asciiTheme="minorHAnsi" w:hAnsiTheme="minorHAnsi"/>
        </w:rPr>
        <w:t>16 de maio de 2025.</w:t>
      </w:r>
    </w:p>
    <w:p w:rsidR="004845DB" w:rsidRDefault="004845DB" w:rsidP="004845DB">
      <w:pPr>
        <w:jc w:val="right"/>
        <w:rPr>
          <w:rFonts w:asciiTheme="minorHAnsi" w:hAnsiTheme="minorHAnsi"/>
        </w:rPr>
      </w:pPr>
    </w:p>
    <w:p w:rsidR="004845DB" w:rsidRDefault="004845DB" w:rsidP="004845DB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Lauro Barro Boccacio</w:t>
      </w:r>
    </w:p>
    <w:p w:rsidR="004845DB" w:rsidRPr="00AF3650" w:rsidRDefault="004845DB" w:rsidP="004845DB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Secretário de Saúde</w:t>
      </w:r>
    </w:p>
    <w:p w:rsidR="00A75A3D" w:rsidRPr="00F92DE5" w:rsidRDefault="00A75A3D" w:rsidP="00AF3650"/>
    <w:sectPr w:rsidR="00A75A3D" w:rsidRPr="00F92DE5" w:rsidSect="00D44802">
      <w:headerReference w:type="default" r:id="rId8"/>
      <w:footerReference w:type="default" r:id="rId9"/>
      <w:pgSz w:w="11906" w:h="16838"/>
      <w:pgMar w:top="1985" w:right="566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63D" w:rsidRDefault="00A5363D">
      <w:r>
        <w:separator/>
      </w:r>
    </w:p>
  </w:endnote>
  <w:endnote w:type="continuationSeparator" w:id="0">
    <w:p w:rsidR="00A5363D" w:rsidRDefault="00A5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63D" w:rsidRDefault="00A5363D">
      <w:r>
        <w:separator/>
      </w:r>
    </w:p>
  </w:footnote>
  <w:footnote w:type="continuationSeparator" w:id="0">
    <w:p w:rsidR="00A5363D" w:rsidRDefault="00A53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E5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FE5" w:rsidRDefault="00FC7FE5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FC7FE5" w:rsidRDefault="00FC7FE5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8902010" r:id="rId2"/>
      </w:object>
    </w:r>
  </w:p>
  <w:p w:rsidR="00FC7FE5" w:rsidRDefault="00FC7FE5">
    <w:pPr>
      <w:pStyle w:val="Cabealho"/>
    </w:pPr>
  </w:p>
  <w:p w:rsidR="00FC7FE5" w:rsidRDefault="00FC7F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561EE"/>
    <w:multiLevelType w:val="multilevel"/>
    <w:tmpl w:val="784C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796819"/>
    <w:multiLevelType w:val="multilevel"/>
    <w:tmpl w:val="8950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0380E"/>
    <w:multiLevelType w:val="multilevel"/>
    <w:tmpl w:val="61EC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6E59AF"/>
    <w:multiLevelType w:val="multilevel"/>
    <w:tmpl w:val="B85C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CF7CA9"/>
    <w:multiLevelType w:val="multilevel"/>
    <w:tmpl w:val="78B8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768AB"/>
    <w:multiLevelType w:val="multilevel"/>
    <w:tmpl w:val="789C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4D3E54"/>
    <w:multiLevelType w:val="multilevel"/>
    <w:tmpl w:val="DFF4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2"/>
  </w:num>
  <w:num w:numId="3">
    <w:abstractNumId w:val="30"/>
  </w:num>
  <w:num w:numId="4">
    <w:abstractNumId w:val="36"/>
  </w:num>
  <w:num w:numId="5">
    <w:abstractNumId w:val="33"/>
  </w:num>
  <w:num w:numId="6">
    <w:abstractNumId w:val="10"/>
  </w:num>
  <w:num w:numId="7">
    <w:abstractNumId w:val="20"/>
  </w:num>
  <w:num w:numId="8">
    <w:abstractNumId w:val="1"/>
  </w:num>
  <w:num w:numId="9">
    <w:abstractNumId w:val="25"/>
  </w:num>
  <w:num w:numId="10">
    <w:abstractNumId w:val="4"/>
  </w:num>
  <w:num w:numId="11">
    <w:abstractNumId w:val="18"/>
  </w:num>
  <w:num w:numId="12">
    <w:abstractNumId w:val="12"/>
  </w:num>
  <w:num w:numId="13">
    <w:abstractNumId w:val="35"/>
  </w:num>
  <w:num w:numId="14">
    <w:abstractNumId w:val="19"/>
  </w:num>
  <w:num w:numId="15">
    <w:abstractNumId w:val="24"/>
  </w:num>
  <w:num w:numId="16">
    <w:abstractNumId w:val="26"/>
  </w:num>
  <w:num w:numId="17">
    <w:abstractNumId w:val="14"/>
  </w:num>
  <w:num w:numId="18">
    <w:abstractNumId w:val="0"/>
  </w:num>
  <w:num w:numId="19">
    <w:abstractNumId w:val="7"/>
  </w:num>
  <w:num w:numId="20">
    <w:abstractNumId w:val="13"/>
  </w:num>
  <w:num w:numId="21">
    <w:abstractNumId w:val="2"/>
  </w:num>
  <w:num w:numId="22">
    <w:abstractNumId w:val="3"/>
  </w:num>
  <w:num w:numId="23">
    <w:abstractNumId w:val="6"/>
  </w:num>
  <w:num w:numId="24">
    <w:abstractNumId w:val="11"/>
  </w:num>
  <w:num w:numId="25">
    <w:abstractNumId w:val="15"/>
  </w:num>
  <w:num w:numId="26">
    <w:abstractNumId w:val="23"/>
  </w:num>
  <w:num w:numId="27">
    <w:abstractNumId w:val="17"/>
  </w:num>
  <w:num w:numId="28">
    <w:abstractNumId w:val="29"/>
  </w:num>
  <w:num w:numId="29">
    <w:abstractNumId w:val="16"/>
  </w:num>
  <w:num w:numId="30">
    <w:abstractNumId w:val="28"/>
  </w:num>
  <w:num w:numId="31">
    <w:abstractNumId w:val="31"/>
  </w:num>
  <w:num w:numId="32">
    <w:abstractNumId w:val="8"/>
  </w:num>
  <w:num w:numId="33">
    <w:abstractNumId w:val="9"/>
  </w:num>
  <w:num w:numId="34">
    <w:abstractNumId w:val="21"/>
  </w:num>
  <w:num w:numId="35">
    <w:abstractNumId w:val="27"/>
  </w:num>
  <w:num w:numId="36">
    <w:abstractNumId w:val="3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B246E"/>
    <w:rsid w:val="000B7B25"/>
    <w:rsid w:val="000C1487"/>
    <w:rsid w:val="000C27AB"/>
    <w:rsid w:val="000C314A"/>
    <w:rsid w:val="000D160C"/>
    <w:rsid w:val="000D45CA"/>
    <w:rsid w:val="000E557B"/>
    <w:rsid w:val="000F53B8"/>
    <w:rsid w:val="000F5D3C"/>
    <w:rsid w:val="00167967"/>
    <w:rsid w:val="001779DE"/>
    <w:rsid w:val="00181520"/>
    <w:rsid w:val="00190C7C"/>
    <w:rsid w:val="001953D5"/>
    <w:rsid w:val="001968EE"/>
    <w:rsid w:val="001B0935"/>
    <w:rsid w:val="001B48B3"/>
    <w:rsid w:val="001C356E"/>
    <w:rsid w:val="001D0355"/>
    <w:rsid w:val="001E257C"/>
    <w:rsid w:val="001E4B31"/>
    <w:rsid w:val="00203433"/>
    <w:rsid w:val="002064B7"/>
    <w:rsid w:val="002264E4"/>
    <w:rsid w:val="00235004"/>
    <w:rsid w:val="002436A2"/>
    <w:rsid w:val="0025074D"/>
    <w:rsid w:val="00253BC0"/>
    <w:rsid w:val="002541F5"/>
    <w:rsid w:val="00266317"/>
    <w:rsid w:val="002878EC"/>
    <w:rsid w:val="002A373D"/>
    <w:rsid w:val="002B4549"/>
    <w:rsid w:val="002C319F"/>
    <w:rsid w:val="002C6D9A"/>
    <w:rsid w:val="002D451B"/>
    <w:rsid w:val="002D6E5C"/>
    <w:rsid w:val="002D78CE"/>
    <w:rsid w:val="0030588D"/>
    <w:rsid w:val="00306AB0"/>
    <w:rsid w:val="00331EF3"/>
    <w:rsid w:val="003438D1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D7540"/>
    <w:rsid w:val="003E7DBD"/>
    <w:rsid w:val="003F6746"/>
    <w:rsid w:val="00414718"/>
    <w:rsid w:val="0041712D"/>
    <w:rsid w:val="00425B22"/>
    <w:rsid w:val="00426992"/>
    <w:rsid w:val="004845DB"/>
    <w:rsid w:val="00487D08"/>
    <w:rsid w:val="0049586E"/>
    <w:rsid w:val="004A245C"/>
    <w:rsid w:val="004A2574"/>
    <w:rsid w:val="004A3B98"/>
    <w:rsid w:val="004B5F43"/>
    <w:rsid w:val="004C0775"/>
    <w:rsid w:val="004C1778"/>
    <w:rsid w:val="004F078F"/>
    <w:rsid w:val="0050540B"/>
    <w:rsid w:val="00514E56"/>
    <w:rsid w:val="00531917"/>
    <w:rsid w:val="00552066"/>
    <w:rsid w:val="005553C8"/>
    <w:rsid w:val="00566358"/>
    <w:rsid w:val="005F3FFE"/>
    <w:rsid w:val="00611652"/>
    <w:rsid w:val="00631EAE"/>
    <w:rsid w:val="00645F7A"/>
    <w:rsid w:val="00692A28"/>
    <w:rsid w:val="006953C7"/>
    <w:rsid w:val="00696375"/>
    <w:rsid w:val="006B3755"/>
    <w:rsid w:val="006E4E32"/>
    <w:rsid w:val="00713FE6"/>
    <w:rsid w:val="00721FC6"/>
    <w:rsid w:val="00745448"/>
    <w:rsid w:val="00757486"/>
    <w:rsid w:val="007731BA"/>
    <w:rsid w:val="00781DDA"/>
    <w:rsid w:val="00793ACE"/>
    <w:rsid w:val="007A620A"/>
    <w:rsid w:val="007C00A1"/>
    <w:rsid w:val="007D4C2F"/>
    <w:rsid w:val="007D79E7"/>
    <w:rsid w:val="007D7BC5"/>
    <w:rsid w:val="007E31E4"/>
    <w:rsid w:val="007E34EE"/>
    <w:rsid w:val="007E6D33"/>
    <w:rsid w:val="007E7608"/>
    <w:rsid w:val="008066D8"/>
    <w:rsid w:val="00837FDF"/>
    <w:rsid w:val="008465EF"/>
    <w:rsid w:val="008469CB"/>
    <w:rsid w:val="00857B9F"/>
    <w:rsid w:val="00860A1C"/>
    <w:rsid w:val="00891D06"/>
    <w:rsid w:val="008A3844"/>
    <w:rsid w:val="008E7A44"/>
    <w:rsid w:val="0092383F"/>
    <w:rsid w:val="00951460"/>
    <w:rsid w:val="0095338D"/>
    <w:rsid w:val="0095682B"/>
    <w:rsid w:val="009607D4"/>
    <w:rsid w:val="00963166"/>
    <w:rsid w:val="009743A8"/>
    <w:rsid w:val="00980FA6"/>
    <w:rsid w:val="009B6B63"/>
    <w:rsid w:val="009E2DDD"/>
    <w:rsid w:val="009F5499"/>
    <w:rsid w:val="00A10A4B"/>
    <w:rsid w:val="00A41B28"/>
    <w:rsid w:val="00A5363D"/>
    <w:rsid w:val="00A64355"/>
    <w:rsid w:val="00A75A3D"/>
    <w:rsid w:val="00A7771C"/>
    <w:rsid w:val="00AE76F3"/>
    <w:rsid w:val="00AF33C0"/>
    <w:rsid w:val="00AF3650"/>
    <w:rsid w:val="00AF3A6C"/>
    <w:rsid w:val="00B22578"/>
    <w:rsid w:val="00B3501C"/>
    <w:rsid w:val="00B35A64"/>
    <w:rsid w:val="00B46E91"/>
    <w:rsid w:val="00B52350"/>
    <w:rsid w:val="00B570AD"/>
    <w:rsid w:val="00B60915"/>
    <w:rsid w:val="00BA7647"/>
    <w:rsid w:val="00BA78A0"/>
    <w:rsid w:val="00BC1BB4"/>
    <w:rsid w:val="00BC4FDA"/>
    <w:rsid w:val="00BF79BD"/>
    <w:rsid w:val="00C14879"/>
    <w:rsid w:val="00C2100C"/>
    <w:rsid w:val="00C610C9"/>
    <w:rsid w:val="00C62056"/>
    <w:rsid w:val="00C76BF8"/>
    <w:rsid w:val="00C80910"/>
    <w:rsid w:val="00C83337"/>
    <w:rsid w:val="00CB36FA"/>
    <w:rsid w:val="00CC531B"/>
    <w:rsid w:val="00CD5436"/>
    <w:rsid w:val="00CE08B8"/>
    <w:rsid w:val="00CE6759"/>
    <w:rsid w:val="00CF349F"/>
    <w:rsid w:val="00D44802"/>
    <w:rsid w:val="00D5429F"/>
    <w:rsid w:val="00D74A33"/>
    <w:rsid w:val="00D81C99"/>
    <w:rsid w:val="00D83A7B"/>
    <w:rsid w:val="00DA77AA"/>
    <w:rsid w:val="00DF1966"/>
    <w:rsid w:val="00E2216B"/>
    <w:rsid w:val="00E55CBD"/>
    <w:rsid w:val="00E947CD"/>
    <w:rsid w:val="00EA692E"/>
    <w:rsid w:val="00F2496E"/>
    <w:rsid w:val="00F310B0"/>
    <w:rsid w:val="00F32712"/>
    <w:rsid w:val="00F4417D"/>
    <w:rsid w:val="00F758B5"/>
    <w:rsid w:val="00F811D3"/>
    <w:rsid w:val="00F92DE5"/>
    <w:rsid w:val="00FC7FE5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311A5"/>
  <w15:docId w15:val="{578BB74B-6B8E-47E2-9181-B730925A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448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448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41C01-EE1B-4A96-BABA-B82EE93C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2176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2025-05-16T12:40:00Z</cp:lastPrinted>
  <dcterms:created xsi:type="dcterms:W3CDTF">2025-05-16T15:00:00Z</dcterms:created>
  <dcterms:modified xsi:type="dcterms:W3CDTF">2025-05-16T15:00:00Z</dcterms:modified>
</cp:coreProperties>
</file>