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BC9" w:rsidRPr="00AB05B7" w:rsidRDefault="00C17BC9" w:rsidP="00C17BC9">
      <w:pPr>
        <w:jc w:val="center"/>
        <w:rPr>
          <w:rFonts w:eastAsia="Times New Roman" w:cstheme="minorHAnsi"/>
          <w:b/>
          <w:bCs/>
          <w:kern w:val="36"/>
          <w:sz w:val="28"/>
          <w:szCs w:val="28"/>
          <w:lang w:eastAsia="pt-BR"/>
        </w:rPr>
      </w:pPr>
      <w:r w:rsidRPr="00AB05B7">
        <w:rPr>
          <w:rFonts w:eastAsia="Times New Roman" w:cstheme="minorHAnsi"/>
          <w:b/>
          <w:bCs/>
          <w:kern w:val="36"/>
          <w:sz w:val="28"/>
          <w:szCs w:val="28"/>
          <w:lang w:eastAsia="pt-BR"/>
        </w:rPr>
        <w:t>RESPOSTA AO PEDIDO DE</w:t>
      </w:r>
      <w:r w:rsidRPr="00AB05B7">
        <w:rPr>
          <w:rFonts w:eastAsia="Times New Roman" w:cstheme="minorHAnsi"/>
          <w:b/>
          <w:bCs/>
          <w:kern w:val="36"/>
          <w:sz w:val="28"/>
          <w:szCs w:val="28"/>
          <w:lang w:eastAsia="pt-BR"/>
        </w:rPr>
        <w:t xml:space="preserve"> IMPUGNAÇÃO PREGÃO ELETRÔNICO 74</w:t>
      </w:r>
      <w:r w:rsidRPr="00AB05B7">
        <w:rPr>
          <w:rFonts w:eastAsia="Times New Roman" w:cstheme="minorHAnsi"/>
          <w:b/>
          <w:bCs/>
          <w:kern w:val="36"/>
          <w:sz w:val="28"/>
          <w:szCs w:val="28"/>
          <w:lang w:eastAsia="pt-BR"/>
        </w:rPr>
        <w:t>-2025.</w:t>
      </w:r>
    </w:p>
    <w:p w:rsidR="00C17BC9" w:rsidRPr="00C17BC9" w:rsidRDefault="00C17BC9" w:rsidP="00C17BC9">
      <w:pPr>
        <w:spacing w:line="360" w:lineRule="auto"/>
        <w:jc w:val="both"/>
        <w:rPr>
          <w:rFonts w:ascii="Arial" w:hAnsi="Arial" w:cs="Arial"/>
          <w:b/>
        </w:rPr>
      </w:pPr>
      <w:proofErr w:type="gramStart"/>
      <w:r w:rsidRPr="00C17BC9">
        <w:rPr>
          <w:rFonts w:ascii="Arial" w:eastAsia="Times New Roman" w:hAnsi="Arial" w:cs="Arial"/>
          <w:b/>
          <w:bCs/>
          <w:kern w:val="36"/>
          <w:lang w:eastAsia="pt-BR"/>
        </w:rPr>
        <w:t>Objeto :</w:t>
      </w:r>
      <w:proofErr w:type="gramEnd"/>
      <w:r w:rsidRPr="00C17BC9">
        <w:rPr>
          <w:rFonts w:ascii="Arial" w:eastAsia="Times New Roman" w:hAnsi="Arial" w:cs="Arial"/>
          <w:b/>
          <w:bCs/>
          <w:kern w:val="36"/>
          <w:lang w:eastAsia="pt-BR"/>
        </w:rPr>
        <w:t xml:space="preserve"> </w:t>
      </w:r>
      <w:r w:rsidRPr="00C17BC9">
        <w:rPr>
          <w:rFonts w:ascii="Arial" w:hAnsi="Arial" w:cs="Arial"/>
        </w:rPr>
        <w:t>MENOR PREÇO, POR ITEM, através do maior desconto sobre percentual de 5% do valor dos bens leiloados, auferida dos arrematantes.</w:t>
      </w:r>
    </w:p>
    <w:p w:rsidR="00C17BC9" w:rsidRDefault="00C17BC9" w:rsidP="00C17BC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kern w:val="36"/>
          <w:lang w:eastAsia="pt-BR"/>
        </w:rPr>
      </w:pPr>
      <w:proofErr w:type="gramStart"/>
      <w:r w:rsidRPr="00C17BC9">
        <w:rPr>
          <w:rFonts w:eastAsia="Times New Roman" w:cstheme="minorHAnsi"/>
          <w:b/>
          <w:bCs/>
          <w:kern w:val="36"/>
          <w:lang w:eastAsia="pt-BR"/>
        </w:rPr>
        <w:t>Empresas :</w:t>
      </w:r>
      <w:proofErr w:type="gramEnd"/>
      <w:r w:rsidRPr="00C17BC9">
        <w:rPr>
          <w:rFonts w:eastAsia="Times New Roman" w:cstheme="minorHAnsi"/>
          <w:b/>
          <w:bCs/>
          <w:kern w:val="36"/>
          <w:lang w:eastAsia="pt-BR"/>
        </w:rPr>
        <w:t xml:space="preserve"> </w:t>
      </w:r>
      <w:r>
        <w:rPr>
          <w:rFonts w:eastAsia="Times New Roman" w:cstheme="minorHAnsi"/>
          <w:b/>
          <w:bCs/>
          <w:kern w:val="36"/>
          <w:lang w:eastAsia="pt-BR"/>
        </w:rPr>
        <w:t xml:space="preserve"> </w:t>
      </w:r>
    </w:p>
    <w:p w:rsidR="00C17BC9" w:rsidRDefault="00C17BC9" w:rsidP="00C17BC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kern w:val="36"/>
          <w:lang w:eastAsia="pt-BR"/>
        </w:rPr>
      </w:pPr>
    </w:p>
    <w:p w:rsidR="00C17BC9" w:rsidRDefault="00C17BC9" w:rsidP="00C17BC9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</w:rPr>
      </w:pPr>
      <w:r>
        <w:rPr>
          <w:rFonts w:eastAsia="Times New Roman" w:cstheme="minorHAnsi"/>
          <w:b/>
          <w:bCs/>
          <w:kern w:val="36"/>
          <w:lang w:eastAsia="pt-BR"/>
        </w:rPr>
        <w:t xml:space="preserve">- </w:t>
      </w:r>
      <w:r w:rsidRPr="00C17BC9">
        <w:rPr>
          <w:rFonts w:ascii="CIDFont+F3" w:hAnsi="CIDFont+F3" w:cs="CIDFont+F3"/>
          <w:b/>
        </w:rPr>
        <w:t>HELCIO KRONBERG</w:t>
      </w:r>
      <w:r w:rsidRPr="00C17BC9">
        <w:rPr>
          <w:rFonts w:ascii="CIDFont+F3" w:hAnsi="CIDFont+F3" w:cs="CIDFont+F3"/>
        </w:rPr>
        <w:t xml:space="preserve">, </w:t>
      </w:r>
      <w:r w:rsidRPr="00C17BC9">
        <w:rPr>
          <w:rFonts w:ascii="CIDFont+F2" w:hAnsi="CIDFont+F2" w:cs="CIDFont+F2"/>
        </w:rPr>
        <w:t>leiloeiro público oficial, devidamente</w:t>
      </w:r>
      <w:r w:rsidRPr="00C17BC9">
        <w:rPr>
          <w:rFonts w:ascii="CIDFont+F2" w:hAnsi="CIDFont+F2" w:cs="CIDFont+F2"/>
        </w:rPr>
        <w:t xml:space="preserve"> matriculado na Junta Comercial </w:t>
      </w:r>
      <w:r w:rsidRPr="00C17BC9">
        <w:rPr>
          <w:rFonts w:ascii="CIDFont+F2" w:hAnsi="CIDFont+F2" w:cs="CIDFont+F2"/>
        </w:rPr>
        <w:t>do Rio Grande do Sul nº 508, inscrito no CPF sob o nº 085.187.848-24, com endereço comercial à</w:t>
      </w:r>
      <w:r w:rsidRPr="00C17BC9">
        <w:rPr>
          <w:rFonts w:ascii="CIDFont+F2" w:hAnsi="CIDFont+F2" w:cs="CIDFont+F2"/>
        </w:rPr>
        <w:t xml:space="preserve"> Rua </w:t>
      </w:r>
      <w:r w:rsidRPr="00C17BC9">
        <w:rPr>
          <w:rFonts w:ascii="CIDFont+F2" w:hAnsi="CIDFont+F2" w:cs="CIDFont+F2"/>
        </w:rPr>
        <w:t>André de Barros, nº</w:t>
      </w:r>
      <w:r>
        <w:rPr>
          <w:rFonts w:ascii="CIDFont+F2" w:hAnsi="CIDFont+F2" w:cs="CIDFont+F2"/>
        </w:rPr>
        <w:t xml:space="preserve"> 226, Centro, Curitiba/PR.</w:t>
      </w:r>
    </w:p>
    <w:p w:rsidR="00C17BC9" w:rsidRDefault="00C17BC9" w:rsidP="00C17BC9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</w:rPr>
      </w:pPr>
    </w:p>
    <w:p w:rsidR="00C17BC9" w:rsidRDefault="00C17BC9" w:rsidP="00C17BC9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C17BC9">
        <w:rPr>
          <w:rFonts w:ascii="Arial" w:hAnsi="Arial" w:cs="Arial"/>
        </w:rPr>
        <w:t xml:space="preserve">- </w:t>
      </w:r>
      <w:r w:rsidRPr="00C17BC9">
        <w:rPr>
          <w:rFonts w:ascii="Arial" w:hAnsi="Arial" w:cs="Arial"/>
        </w:rPr>
        <w:t xml:space="preserve"> </w:t>
      </w:r>
      <w:r w:rsidRPr="00C17BC9">
        <w:rPr>
          <w:rFonts w:ascii="Arial" w:hAnsi="Arial" w:cs="Arial"/>
          <w:b/>
          <w:bCs/>
          <w:sz w:val="23"/>
          <w:szCs w:val="23"/>
        </w:rPr>
        <w:t>DANIEL ELIAS GARCIA</w:t>
      </w:r>
      <w:r w:rsidRPr="00C17BC9">
        <w:rPr>
          <w:rFonts w:ascii="Arial" w:hAnsi="Arial" w:cs="Arial"/>
          <w:sz w:val="23"/>
          <w:szCs w:val="23"/>
        </w:rPr>
        <w:t xml:space="preserve">, Leiloeiro Público Oficial, na forma do Decreto </w:t>
      </w:r>
      <w:proofErr w:type="gramStart"/>
      <w:r w:rsidRPr="00C17BC9">
        <w:rPr>
          <w:rFonts w:ascii="Arial" w:hAnsi="Arial" w:cs="Arial"/>
          <w:sz w:val="23"/>
          <w:szCs w:val="23"/>
        </w:rPr>
        <w:t>n.º</w:t>
      </w:r>
      <w:proofErr w:type="gramEnd"/>
      <w:r w:rsidRPr="00C17BC9">
        <w:rPr>
          <w:rFonts w:ascii="Arial" w:hAnsi="Arial" w:cs="Arial"/>
          <w:sz w:val="23"/>
          <w:szCs w:val="23"/>
        </w:rPr>
        <w:t xml:space="preserve"> 21.981/1932, matriculado na JUCERGS sob o nº 404/2020, identidade civil nº 3172018, CPF/MF nº 910.192.149-53, com endereço profissional na Rua Piauí, 183/193, sala 504, Santa Maria </w:t>
      </w:r>
      <w:proofErr w:type="spellStart"/>
      <w:r w:rsidRPr="00C17BC9">
        <w:rPr>
          <w:rFonts w:ascii="Arial" w:hAnsi="Arial" w:cs="Arial"/>
          <w:sz w:val="23"/>
          <w:szCs w:val="23"/>
        </w:rPr>
        <w:t>Goretti</w:t>
      </w:r>
      <w:proofErr w:type="spellEnd"/>
      <w:r w:rsidRPr="00C17BC9">
        <w:rPr>
          <w:rFonts w:ascii="Arial" w:hAnsi="Arial" w:cs="Arial"/>
          <w:sz w:val="23"/>
          <w:szCs w:val="23"/>
        </w:rPr>
        <w:t>, CEP 91030-320, Porto Alegre/RS</w:t>
      </w:r>
      <w:r>
        <w:rPr>
          <w:rFonts w:ascii="Arial" w:hAnsi="Arial" w:cs="Arial"/>
          <w:sz w:val="23"/>
          <w:szCs w:val="23"/>
        </w:rPr>
        <w:t>.</w:t>
      </w:r>
    </w:p>
    <w:p w:rsidR="00C17BC9" w:rsidRDefault="00C17BC9" w:rsidP="00C17BC9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C17BC9" w:rsidRDefault="00C17BC9" w:rsidP="00C17BC9">
      <w:pPr>
        <w:pStyle w:val="Default"/>
        <w:jc w:val="both"/>
        <w:rPr>
          <w:rFonts w:ascii="Arial" w:hAnsi="Arial" w:cs="Arial"/>
          <w:b/>
          <w:sz w:val="23"/>
          <w:szCs w:val="23"/>
        </w:rPr>
      </w:pPr>
      <w:r w:rsidRPr="00C17BC9">
        <w:rPr>
          <w:rFonts w:ascii="Arial" w:hAnsi="Arial" w:cs="Arial"/>
          <w:b/>
          <w:sz w:val="23"/>
          <w:szCs w:val="23"/>
        </w:rPr>
        <w:t xml:space="preserve">Do Pedido: </w:t>
      </w:r>
    </w:p>
    <w:p w:rsidR="00C17BC9" w:rsidRPr="00C17BC9" w:rsidRDefault="00C17BC9" w:rsidP="00C17BC9">
      <w:pPr>
        <w:pStyle w:val="Default"/>
        <w:jc w:val="both"/>
        <w:rPr>
          <w:rFonts w:ascii="Arial" w:hAnsi="Arial" w:cs="Arial"/>
          <w:b/>
        </w:rPr>
      </w:pPr>
    </w:p>
    <w:p w:rsidR="00C17BC9" w:rsidRDefault="00C17BC9" w:rsidP="00C17BC9">
      <w:pPr>
        <w:jc w:val="both"/>
        <w:rPr>
          <w:rFonts w:ascii="Arial" w:hAnsi="Arial" w:cs="Arial"/>
          <w:sz w:val="24"/>
          <w:szCs w:val="24"/>
        </w:rPr>
      </w:pPr>
      <w:r w:rsidRPr="00C17BC9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 -  Ambas as empresas </w:t>
      </w:r>
      <w:r w:rsidRPr="00C17BC9">
        <w:rPr>
          <w:rFonts w:ascii="Arial" w:hAnsi="Arial" w:cs="Arial"/>
          <w:sz w:val="24"/>
          <w:szCs w:val="24"/>
        </w:rPr>
        <w:t>requer</w:t>
      </w:r>
      <w:r w:rsidRPr="00C17BC9">
        <w:rPr>
          <w:rFonts w:ascii="Arial" w:hAnsi="Arial" w:cs="Arial"/>
          <w:sz w:val="24"/>
          <w:szCs w:val="24"/>
        </w:rPr>
        <w:t>em</w:t>
      </w:r>
      <w:r w:rsidRPr="00C17BC9">
        <w:rPr>
          <w:rFonts w:ascii="Arial" w:hAnsi="Arial" w:cs="Arial"/>
          <w:sz w:val="24"/>
          <w:szCs w:val="24"/>
        </w:rPr>
        <w:t xml:space="preserve"> </w:t>
      </w:r>
      <w:r w:rsidRPr="00C17BC9">
        <w:rPr>
          <w:rFonts w:ascii="Arial" w:hAnsi="Arial" w:cs="Arial"/>
          <w:sz w:val="24"/>
          <w:szCs w:val="24"/>
        </w:rPr>
        <w:t xml:space="preserve">a Obrigatoriedade, </w:t>
      </w:r>
      <w:proofErr w:type="gramStart"/>
      <w:r w:rsidRPr="00C17BC9">
        <w:rPr>
          <w:rFonts w:ascii="Arial" w:hAnsi="Arial" w:cs="Arial"/>
          <w:sz w:val="24"/>
          <w:szCs w:val="24"/>
        </w:rPr>
        <w:t xml:space="preserve">respeitando </w:t>
      </w:r>
      <w:r w:rsidRPr="00C17BC9">
        <w:rPr>
          <w:rFonts w:ascii="Arial" w:hAnsi="Arial" w:cs="Arial"/>
          <w:sz w:val="24"/>
          <w:szCs w:val="24"/>
        </w:rPr>
        <w:t xml:space="preserve"> respeitado</w:t>
      </w:r>
      <w:proofErr w:type="gramEnd"/>
      <w:r w:rsidRPr="00C17BC9">
        <w:rPr>
          <w:rFonts w:ascii="Arial" w:hAnsi="Arial" w:cs="Arial"/>
          <w:sz w:val="24"/>
          <w:szCs w:val="24"/>
        </w:rPr>
        <w:t xml:space="preserve"> a comissão do Leiloeiro de no mínimo 5% (cinco por cento) do bem arrematado, nos termos do Decreto Federal nº 21.981/32, da Lei nº 14.133/21, da IN</w:t>
      </w:r>
      <w:r w:rsidRPr="00C17BC9">
        <w:rPr>
          <w:rFonts w:ascii="Arial" w:hAnsi="Arial" w:cs="Arial"/>
          <w:sz w:val="24"/>
          <w:szCs w:val="24"/>
        </w:rPr>
        <w:t xml:space="preserve"> DREI nº 52/2022, entendimento </w:t>
      </w:r>
      <w:r w:rsidRPr="00C17BC9">
        <w:rPr>
          <w:rFonts w:ascii="Arial" w:hAnsi="Arial" w:cs="Arial"/>
          <w:sz w:val="24"/>
          <w:szCs w:val="24"/>
        </w:rPr>
        <w:t>jurisprudenciais e doutrinários, e ainda, órgãos reguladores da profissão de Leiloeiro.</w:t>
      </w:r>
    </w:p>
    <w:p w:rsidR="00C17BC9" w:rsidRDefault="00C17BC9" w:rsidP="00C17BC9">
      <w:pPr>
        <w:jc w:val="both"/>
        <w:rPr>
          <w:rFonts w:ascii="Arial" w:hAnsi="Arial" w:cs="Arial"/>
          <w:sz w:val="24"/>
          <w:szCs w:val="24"/>
        </w:rPr>
      </w:pPr>
    </w:p>
    <w:p w:rsidR="00C17BC9" w:rsidRPr="005A21B3" w:rsidRDefault="005A21B3" w:rsidP="00C17BC9">
      <w:pPr>
        <w:jc w:val="both"/>
        <w:rPr>
          <w:rFonts w:ascii="Arial" w:hAnsi="Arial" w:cs="Arial"/>
          <w:b/>
          <w:sz w:val="24"/>
          <w:szCs w:val="24"/>
        </w:rPr>
      </w:pPr>
      <w:r w:rsidRPr="005A21B3">
        <w:rPr>
          <w:rFonts w:ascii="Arial" w:hAnsi="Arial" w:cs="Arial"/>
          <w:b/>
          <w:sz w:val="24"/>
          <w:szCs w:val="24"/>
        </w:rPr>
        <w:t>Do Julgamento do Mérito</w:t>
      </w:r>
      <w:r w:rsidR="00C17BC9" w:rsidRPr="005A21B3">
        <w:rPr>
          <w:rFonts w:ascii="Arial" w:hAnsi="Arial" w:cs="Arial"/>
          <w:b/>
          <w:sz w:val="24"/>
          <w:szCs w:val="24"/>
        </w:rPr>
        <w:t>:</w:t>
      </w:r>
    </w:p>
    <w:p w:rsidR="005A21B3" w:rsidRDefault="005A21B3" w:rsidP="00C17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As impugnações alegam que a estipulação do critério de julgamento por maior desconto na COMISSÃO paga pelo arrematante violaria o art. 24, </w:t>
      </w:r>
      <w:proofErr w:type="spellStart"/>
      <w:r>
        <w:rPr>
          <w:rFonts w:ascii="Arial" w:hAnsi="Arial" w:cs="Arial"/>
          <w:sz w:val="24"/>
          <w:szCs w:val="24"/>
        </w:rPr>
        <w:t>paragrafo</w:t>
      </w:r>
      <w:proofErr w:type="spellEnd"/>
      <w:r>
        <w:rPr>
          <w:rFonts w:ascii="Arial" w:hAnsi="Arial" w:cs="Arial"/>
          <w:sz w:val="24"/>
          <w:szCs w:val="24"/>
        </w:rPr>
        <w:t xml:space="preserve"> Único do DECRETO 21.981/1932, o qual prevê mínimo de 5</w:t>
      </w:r>
      <w:proofErr w:type="gramStart"/>
      <w:r>
        <w:rPr>
          <w:rFonts w:ascii="Arial" w:hAnsi="Arial" w:cs="Arial"/>
          <w:sz w:val="24"/>
          <w:szCs w:val="24"/>
        </w:rPr>
        <w:t>%  sobre</w:t>
      </w:r>
      <w:proofErr w:type="gramEnd"/>
      <w:r>
        <w:rPr>
          <w:rFonts w:ascii="Arial" w:hAnsi="Arial" w:cs="Arial"/>
          <w:sz w:val="24"/>
          <w:szCs w:val="24"/>
        </w:rPr>
        <w:t xml:space="preserve"> o valor do bem.</w:t>
      </w:r>
    </w:p>
    <w:p w:rsidR="005A21B3" w:rsidRDefault="005A21B3" w:rsidP="00C17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Edital deixa claro que a remuneração do contratado será exclusivamente por comissão paga pelo arrematante, sem qualquer custo a Administração municipal.</w:t>
      </w:r>
    </w:p>
    <w:p w:rsidR="005A21B3" w:rsidRDefault="005A21B3" w:rsidP="00C17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proofErr w:type="gramStart"/>
      <w:r>
        <w:rPr>
          <w:rFonts w:ascii="Arial" w:hAnsi="Arial" w:cs="Arial"/>
          <w:sz w:val="24"/>
          <w:szCs w:val="24"/>
        </w:rPr>
        <w:t xml:space="preserve"> Importante</w:t>
      </w:r>
      <w:proofErr w:type="gramEnd"/>
      <w:r>
        <w:rPr>
          <w:rFonts w:ascii="Arial" w:hAnsi="Arial" w:cs="Arial"/>
          <w:sz w:val="24"/>
          <w:szCs w:val="24"/>
        </w:rPr>
        <w:t xml:space="preserve"> destacar que o Edital não prevê a fixação de comissão inferior aos limites legais, mas sim adota o critério de maior desconto respeitando o teto máximo de 5%</w:t>
      </w:r>
      <w:r w:rsidR="00724196">
        <w:rPr>
          <w:rFonts w:ascii="Arial" w:hAnsi="Arial" w:cs="Arial"/>
          <w:sz w:val="24"/>
          <w:szCs w:val="24"/>
        </w:rPr>
        <w:t>, conforme prevê o referido Edital.</w:t>
      </w:r>
    </w:p>
    <w:p w:rsidR="00724196" w:rsidRDefault="00724196" w:rsidP="00C17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 Lei nº 14.133/2021, por sua vez, prevê expressamente em seu art. 31, § 1º que, ao optar contratação de leiloeiro por pregão, a Administração poderá adotar o critério de maior desconto para as comissões a serem cobradas, desde de que respeitada o percentual definido na legislação da profissão.</w:t>
      </w:r>
    </w:p>
    <w:p w:rsidR="006A720C" w:rsidRDefault="00724196" w:rsidP="00C17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Ocorre que, com o </w:t>
      </w:r>
      <w:proofErr w:type="gramStart"/>
      <w:r>
        <w:rPr>
          <w:rFonts w:ascii="Arial" w:hAnsi="Arial" w:cs="Arial"/>
          <w:sz w:val="24"/>
          <w:szCs w:val="24"/>
        </w:rPr>
        <w:t>advento  da</w:t>
      </w:r>
      <w:proofErr w:type="gramEnd"/>
      <w:r>
        <w:rPr>
          <w:rFonts w:ascii="Arial" w:hAnsi="Arial" w:cs="Arial"/>
          <w:sz w:val="24"/>
          <w:szCs w:val="24"/>
        </w:rPr>
        <w:t xml:space="preserve"> Lei 14.133/2021, norma superveniente</w:t>
      </w:r>
      <w:r w:rsidR="002D3124">
        <w:rPr>
          <w:rFonts w:ascii="Arial" w:hAnsi="Arial" w:cs="Arial"/>
          <w:sz w:val="24"/>
          <w:szCs w:val="24"/>
        </w:rPr>
        <w:t>, hierarquicamente superior e especifica quanto á forma de contratação de leiloeiro por entes públicos, passou-se a admitir o critério de maior desc</w:t>
      </w:r>
      <w:r w:rsidR="006A720C">
        <w:rPr>
          <w:rFonts w:ascii="Arial" w:hAnsi="Arial" w:cs="Arial"/>
          <w:sz w:val="24"/>
          <w:szCs w:val="24"/>
        </w:rPr>
        <w:t>onto sobre as condições como forma válida e legitima de seleção do contrato, Tal previsão consta expressamente no Art. 31 § 1º da nova Lei.</w:t>
      </w:r>
    </w:p>
    <w:p w:rsidR="006A720C" w:rsidRPr="00AB05B7" w:rsidRDefault="006A720C" w:rsidP="00AB05B7">
      <w:pPr>
        <w:ind w:left="2977"/>
        <w:jc w:val="both"/>
        <w:rPr>
          <w:rFonts w:ascii="Arial" w:hAnsi="Arial" w:cs="Arial"/>
          <w:b/>
          <w:i/>
          <w:sz w:val="20"/>
          <w:szCs w:val="20"/>
        </w:rPr>
      </w:pPr>
      <w:r w:rsidRPr="00AB05B7">
        <w:rPr>
          <w:rFonts w:ascii="Arial" w:hAnsi="Arial" w:cs="Arial"/>
          <w:b/>
          <w:i/>
          <w:sz w:val="20"/>
          <w:szCs w:val="20"/>
        </w:rPr>
        <w:t>“ Se optar pela realização de leilão por intermédio de leiloeiro oficial, a Administração deverá selecioná-lo mediante Credenciamento ou Licitação na modalidade Pregão e adotar o critério de julgamento de maior desconto para as comissões a serem cobradas, utilizados como parâmetro os percentuais definidos na Lei da Profissão. ”</w:t>
      </w:r>
    </w:p>
    <w:p w:rsidR="007576FA" w:rsidRDefault="006A720C" w:rsidP="006A72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Dessa forma, o novo marco legal não revogou o Decreto nº 21.981/32, mas disciplinou expressamente que o desconto pode incidir sobre os percentuais máximos permitidos. Assim, ao contrário do </w:t>
      </w:r>
      <w:r w:rsidR="0038358D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legado, o Edital NÃO impõe percentual inferior ao piso </w:t>
      </w:r>
      <w:r w:rsidR="007576FA">
        <w:rPr>
          <w:rFonts w:ascii="Arial" w:hAnsi="Arial" w:cs="Arial"/>
          <w:sz w:val="24"/>
          <w:szCs w:val="24"/>
        </w:rPr>
        <w:t xml:space="preserve">legal, apenas abre margem </w:t>
      </w:r>
      <w:proofErr w:type="spellStart"/>
      <w:r w:rsidR="007576FA">
        <w:rPr>
          <w:rFonts w:ascii="Arial" w:hAnsi="Arial" w:cs="Arial"/>
          <w:sz w:val="24"/>
          <w:szCs w:val="24"/>
        </w:rPr>
        <w:t>á</w:t>
      </w:r>
      <w:proofErr w:type="spellEnd"/>
      <w:r w:rsidR="007576FA">
        <w:rPr>
          <w:rFonts w:ascii="Arial" w:hAnsi="Arial" w:cs="Arial"/>
          <w:sz w:val="24"/>
          <w:szCs w:val="24"/>
        </w:rPr>
        <w:t xml:space="preserve"> concorrência sobre os limites máximos permitidos, o que é juridicamente válido.</w:t>
      </w:r>
    </w:p>
    <w:p w:rsidR="007576FA" w:rsidRPr="00F033B0" w:rsidRDefault="007576FA" w:rsidP="006A720C">
      <w:pPr>
        <w:jc w:val="both"/>
        <w:rPr>
          <w:rFonts w:ascii="Arial" w:hAnsi="Arial" w:cs="Arial"/>
          <w:b/>
          <w:sz w:val="24"/>
          <w:szCs w:val="24"/>
        </w:rPr>
      </w:pPr>
      <w:r w:rsidRPr="00F033B0">
        <w:rPr>
          <w:rFonts w:ascii="Arial" w:hAnsi="Arial" w:cs="Arial"/>
          <w:b/>
          <w:sz w:val="24"/>
          <w:szCs w:val="24"/>
        </w:rPr>
        <w:t>Da Decisão:</w:t>
      </w:r>
    </w:p>
    <w:p w:rsidR="007576FA" w:rsidRDefault="007576FA" w:rsidP="006A72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033B0">
        <w:rPr>
          <w:rFonts w:ascii="Arial" w:hAnsi="Arial" w:cs="Arial"/>
          <w:sz w:val="24"/>
          <w:szCs w:val="24"/>
        </w:rPr>
        <w:t>Pelas razões de fato e de direito acima aduzidas, bem como, tendo-se por fundamento os termos do instrumento convocatório, os constantes da Lei Geral de Licitação.</w:t>
      </w:r>
    </w:p>
    <w:p w:rsidR="00F033B0" w:rsidRDefault="00F033B0" w:rsidP="006A72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>
        <w:rPr>
          <w:rFonts w:ascii="Arial" w:hAnsi="Arial" w:cs="Arial"/>
          <w:sz w:val="24"/>
          <w:szCs w:val="24"/>
        </w:rPr>
        <w:t>CONHECER  das</w:t>
      </w:r>
      <w:proofErr w:type="gramEnd"/>
      <w:r>
        <w:rPr>
          <w:rFonts w:ascii="Arial" w:hAnsi="Arial" w:cs="Arial"/>
          <w:sz w:val="24"/>
          <w:szCs w:val="24"/>
        </w:rPr>
        <w:t xml:space="preserve"> impugnações apresentadas, por serem tempestivas, para no </w:t>
      </w:r>
      <w:proofErr w:type="spellStart"/>
      <w:r w:rsidRPr="00AB05B7">
        <w:rPr>
          <w:rFonts w:ascii="Arial" w:hAnsi="Arial" w:cs="Arial"/>
          <w:b/>
          <w:sz w:val="24"/>
          <w:szCs w:val="24"/>
        </w:rPr>
        <w:t>NO</w:t>
      </w:r>
      <w:proofErr w:type="spellEnd"/>
      <w:r w:rsidRPr="00AB05B7">
        <w:rPr>
          <w:rFonts w:ascii="Arial" w:hAnsi="Arial" w:cs="Arial"/>
          <w:b/>
          <w:sz w:val="24"/>
          <w:szCs w:val="24"/>
        </w:rPr>
        <w:t xml:space="preserve"> MÉRITO, NEGO-LHES PROVIMENTO</w:t>
      </w:r>
      <w:r>
        <w:rPr>
          <w:rFonts w:ascii="Arial" w:hAnsi="Arial" w:cs="Arial"/>
          <w:sz w:val="24"/>
          <w:szCs w:val="24"/>
        </w:rPr>
        <w:t xml:space="preserve">, permanecendo inalteradas </w:t>
      </w:r>
      <w:r w:rsidR="00AB05B7">
        <w:rPr>
          <w:rFonts w:ascii="Arial" w:hAnsi="Arial" w:cs="Arial"/>
          <w:sz w:val="24"/>
          <w:szCs w:val="24"/>
        </w:rPr>
        <w:t>as disposições do Pregão Eletrônico 74-2025, como também a data de abertura.</w:t>
      </w:r>
    </w:p>
    <w:p w:rsidR="00AB05B7" w:rsidRDefault="00AB05B7" w:rsidP="006A72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a decisão.</w:t>
      </w:r>
    </w:p>
    <w:p w:rsidR="00AB05B7" w:rsidRDefault="00AB05B7" w:rsidP="006A720C">
      <w:pPr>
        <w:jc w:val="both"/>
        <w:rPr>
          <w:rFonts w:ascii="Arial" w:hAnsi="Arial" w:cs="Arial"/>
          <w:sz w:val="24"/>
          <w:szCs w:val="24"/>
        </w:rPr>
      </w:pPr>
    </w:p>
    <w:p w:rsidR="00AB05B7" w:rsidRPr="00AB05B7" w:rsidRDefault="00AB05B7" w:rsidP="00AB05B7">
      <w:pPr>
        <w:jc w:val="center"/>
        <w:rPr>
          <w:rFonts w:ascii="Arial" w:hAnsi="Arial" w:cs="Arial"/>
          <w:sz w:val="24"/>
          <w:szCs w:val="24"/>
        </w:rPr>
      </w:pPr>
      <w:r w:rsidRPr="00AB05B7">
        <w:rPr>
          <w:rFonts w:ascii="Arial" w:hAnsi="Arial" w:cs="Arial"/>
          <w:sz w:val="24"/>
          <w:szCs w:val="24"/>
        </w:rPr>
        <w:t>Santo Antônio das Missões-RS, 05 de junho de 2025.</w:t>
      </w:r>
    </w:p>
    <w:p w:rsidR="00AB05B7" w:rsidRDefault="00AB05B7" w:rsidP="00AB05B7">
      <w:pPr>
        <w:jc w:val="center"/>
        <w:rPr>
          <w:rFonts w:ascii="Arial" w:hAnsi="Arial" w:cs="Arial"/>
          <w:b/>
          <w:sz w:val="24"/>
          <w:szCs w:val="24"/>
        </w:rPr>
      </w:pPr>
    </w:p>
    <w:p w:rsidR="00AB05B7" w:rsidRPr="00AB05B7" w:rsidRDefault="00AB05B7" w:rsidP="00AB05B7">
      <w:pPr>
        <w:jc w:val="center"/>
        <w:rPr>
          <w:rFonts w:ascii="Arial" w:hAnsi="Arial" w:cs="Arial"/>
          <w:b/>
          <w:sz w:val="24"/>
          <w:szCs w:val="24"/>
        </w:rPr>
      </w:pPr>
    </w:p>
    <w:p w:rsidR="00AB05B7" w:rsidRPr="00AB05B7" w:rsidRDefault="00AB05B7" w:rsidP="00AB05B7">
      <w:pPr>
        <w:jc w:val="center"/>
        <w:rPr>
          <w:rFonts w:ascii="Arial" w:hAnsi="Arial" w:cs="Arial"/>
          <w:b/>
          <w:sz w:val="24"/>
          <w:szCs w:val="24"/>
        </w:rPr>
      </w:pPr>
      <w:r w:rsidRPr="00AB05B7">
        <w:rPr>
          <w:rFonts w:ascii="Arial" w:hAnsi="Arial" w:cs="Arial"/>
          <w:b/>
          <w:sz w:val="24"/>
          <w:szCs w:val="24"/>
        </w:rPr>
        <w:t>MAIKEL TABORDA RAGUZZONI</w:t>
      </w:r>
    </w:p>
    <w:p w:rsidR="00AB05B7" w:rsidRPr="00AB05B7" w:rsidRDefault="00AB05B7" w:rsidP="00AB05B7">
      <w:pPr>
        <w:jc w:val="center"/>
        <w:rPr>
          <w:rFonts w:ascii="Arial" w:hAnsi="Arial" w:cs="Arial"/>
          <w:b/>
          <w:sz w:val="24"/>
          <w:szCs w:val="24"/>
        </w:rPr>
      </w:pPr>
      <w:r w:rsidRPr="00AB05B7">
        <w:rPr>
          <w:rFonts w:ascii="Arial" w:hAnsi="Arial" w:cs="Arial"/>
          <w:b/>
          <w:sz w:val="24"/>
          <w:szCs w:val="24"/>
        </w:rPr>
        <w:t>Pregoeiro</w:t>
      </w:r>
    </w:p>
    <w:p w:rsidR="00AB05B7" w:rsidRPr="006A720C" w:rsidRDefault="00AB05B7" w:rsidP="006A720C">
      <w:pPr>
        <w:jc w:val="both"/>
        <w:rPr>
          <w:rFonts w:ascii="Arial" w:hAnsi="Arial" w:cs="Arial"/>
          <w:sz w:val="24"/>
          <w:szCs w:val="24"/>
        </w:rPr>
      </w:pPr>
    </w:p>
    <w:p w:rsidR="005A21B3" w:rsidRDefault="005A21B3" w:rsidP="00AB05B7">
      <w:pPr>
        <w:tabs>
          <w:tab w:val="left" w:pos="2595"/>
        </w:tabs>
        <w:jc w:val="both"/>
        <w:rPr>
          <w:rFonts w:ascii="Arial" w:hAnsi="Arial" w:cs="Arial"/>
          <w:sz w:val="24"/>
          <w:szCs w:val="24"/>
        </w:rPr>
      </w:pPr>
    </w:p>
    <w:p w:rsidR="005A21B3" w:rsidRDefault="005A21B3" w:rsidP="00C17BC9">
      <w:pPr>
        <w:jc w:val="both"/>
        <w:rPr>
          <w:rFonts w:ascii="Arial" w:hAnsi="Arial" w:cs="Arial"/>
          <w:sz w:val="24"/>
          <w:szCs w:val="24"/>
        </w:rPr>
      </w:pPr>
    </w:p>
    <w:sectPr w:rsidR="005A21B3" w:rsidSect="00AB05B7">
      <w:headerReference w:type="default" r:id="rId6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2EE" w:rsidRDefault="004B12EE" w:rsidP="00AB05B7">
      <w:pPr>
        <w:spacing w:after="0" w:line="240" w:lineRule="auto"/>
      </w:pPr>
      <w:r>
        <w:separator/>
      </w:r>
    </w:p>
  </w:endnote>
  <w:endnote w:type="continuationSeparator" w:id="0">
    <w:p w:rsidR="004B12EE" w:rsidRDefault="004B12EE" w:rsidP="00AB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2EE" w:rsidRDefault="004B12EE" w:rsidP="00AB05B7">
      <w:pPr>
        <w:spacing w:after="0" w:line="240" w:lineRule="auto"/>
      </w:pPr>
      <w:r>
        <w:separator/>
      </w:r>
    </w:p>
  </w:footnote>
  <w:footnote w:type="continuationSeparator" w:id="0">
    <w:p w:rsidR="004B12EE" w:rsidRDefault="004B12EE" w:rsidP="00AB0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346" w:rsidRPr="00192798" w:rsidRDefault="004B12EE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894828" wp14:editId="37A1EB04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4B12EE" w:rsidP="00652346">
                          <w:pPr>
                            <w:jc w:val="center"/>
                          </w:pPr>
                        </w:p>
                        <w:p w:rsidR="00652346" w:rsidRPr="00553BF7" w:rsidRDefault="004B12EE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4B12EE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9482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4B12EE" w:rsidP="00652346">
                    <w:pPr>
                      <w:jc w:val="center"/>
                    </w:pPr>
                  </w:p>
                  <w:p w:rsidR="00652346" w:rsidRPr="00553BF7" w:rsidRDefault="004B12EE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4B12EE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115" type="#_x0000_t75" style="width:81pt;height:99.75pt">
          <v:imagedata r:id="rId1" o:title=""/>
        </v:shape>
        <o:OLEObject Type="Embed" ProgID="PBrush" ShapeID="_x0000_i1115" DrawAspect="Content" ObjectID="_1810628217" r:id="rId2"/>
      </w:object>
    </w:r>
  </w:p>
  <w:p w:rsidR="00652346" w:rsidRDefault="004B12EE">
    <w:pPr>
      <w:pStyle w:val="Cabealho"/>
    </w:pPr>
  </w:p>
  <w:p w:rsidR="00652346" w:rsidRDefault="004B12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C9"/>
    <w:rsid w:val="002D3124"/>
    <w:rsid w:val="0038358D"/>
    <w:rsid w:val="004B12EE"/>
    <w:rsid w:val="005A21B3"/>
    <w:rsid w:val="006A720C"/>
    <w:rsid w:val="00724196"/>
    <w:rsid w:val="007576FA"/>
    <w:rsid w:val="00AB05B7"/>
    <w:rsid w:val="00C17BC9"/>
    <w:rsid w:val="00F033B0"/>
    <w:rsid w:val="00F3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2BAC"/>
  <w15:chartTrackingRefBased/>
  <w15:docId w15:val="{C6EE43B3-C1E3-42F5-B663-AD99D7DE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B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7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BC9"/>
  </w:style>
  <w:style w:type="paragraph" w:customStyle="1" w:styleId="Default">
    <w:name w:val="Default"/>
    <w:rsid w:val="00C17BC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05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5B7"/>
  </w:style>
  <w:style w:type="paragraph" w:styleId="Textodebalo">
    <w:name w:val="Balloon Text"/>
    <w:basedOn w:val="Normal"/>
    <w:link w:val="TextodebaloChar"/>
    <w:uiPriority w:val="99"/>
    <w:semiHidden/>
    <w:unhideWhenUsed/>
    <w:rsid w:val="00AB0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554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2025-06-05T14:20:00Z</cp:lastPrinted>
  <dcterms:created xsi:type="dcterms:W3CDTF">2025-06-05T13:02:00Z</dcterms:created>
  <dcterms:modified xsi:type="dcterms:W3CDTF">2025-06-05T14:30:00Z</dcterms:modified>
</cp:coreProperties>
</file>