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3EC" w:rsidRDefault="00B963EC" w:rsidP="00B963EC">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082</w:t>
      </w:r>
      <w:r>
        <w:rPr>
          <w:rFonts w:cs="Arial"/>
          <w:b/>
          <w:bCs/>
          <w:sz w:val="24"/>
          <w:szCs w:val="24"/>
        </w:rPr>
        <w:t>/2025</w:t>
      </w:r>
    </w:p>
    <w:p w:rsidR="00B963EC" w:rsidRDefault="00B963EC" w:rsidP="00B963EC">
      <w:pPr>
        <w:spacing w:line="360" w:lineRule="auto"/>
        <w:rPr>
          <w:rFonts w:cs="Arial"/>
          <w:sz w:val="18"/>
          <w:szCs w:val="18"/>
        </w:rPr>
      </w:pPr>
    </w:p>
    <w:p w:rsidR="00B963EC" w:rsidRDefault="00B963EC" w:rsidP="00B963EC">
      <w:pPr>
        <w:spacing w:line="360" w:lineRule="auto"/>
        <w:rPr>
          <w:rFonts w:cs="Arial"/>
          <w:sz w:val="18"/>
          <w:szCs w:val="18"/>
        </w:rPr>
      </w:pPr>
    </w:p>
    <w:p w:rsidR="00B963EC" w:rsidRDefault="00B963EC" w:rsidP="00B963EC">
      <w:pPr>
        <w:spacing w:line="360" w:lineRule="auto"/>
        <w:jc w:val="both"/>
        <w:rPr>
          <w:rFonts w:cs="Arial"/>
          <w:sz w:val="24"/>
          <w:szCs w:val="24"/>
        </w:rPr>
      </w:pPr>
      <w:r>
        <w:rPr>
          <w:rFonts w:cs="Arial"/>
          <w:sz w:val="24"/>
          <w:szCs w:val="24"/>
        </w:rPr>
        <w:t>Município de Santo Antônio das Missões-RS.</w:t>
      </w:r>
      <w:bookmarkStart w:id="0" w:name="_GoBack"/>
      <w:bookmarkEnd w:id="0"/>
    </w:p>
    <w:p w:rsidR="00B963EC" w:rsidRDefault="00B963EC" w:rsidP="00B963EC">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082</w:t>
      </w:r>
      <w:r>
        <w:rPr>
          <w:rFonts w:cs="Arial"/>
          <w:sz w:val="24"/>
          <w:szCs w:val="24"/>
        </w:rPr>
        <w:t>/2025</w:t>
      </w:r>
    </w:p>
    <w:p w:rsidR="00B963EC" w:rsidRDefault="00B963EC" w:rsidP="00B963EC">
      <w:pPr>
        <w:spacing w:line="360" w:lineRule="auto"/>
        <w:jc w:val="both"/>
        <w:rPr>
          <w:rFonts w:cs="Arial"/>
          <w:sz w:val="24"/>
          <w:szCs w:val="24"/>
        </w:rPr>
      </w:pPr>
      <w:r>
        <w:rPr>
          <w:rFonts w:cs="Arial"/>
          <w:sz w:val="24"/>
          <w:szCs w:val="24"/>
        </w:rPr>
        <w:t>Tipo de julgamento: menor preço por item</w:t>
      </w:r>
    </w:p>
    <w:p w:rsidR="00B963EC" w:rsidRDefault="00B963EC" w:rsidP="00B963EC">
      <w:pPr>
        <w:spacing w:line="360" w:lineRule="auto"/>
        <w:jc w:val="both"/>
        <w:rPr>
          <w:rFonts w:cs="Arial"/>
          <w:sz w:val="24"/>
          <w:szCs w:val="24"/>
        </w:rPr>
      </w:pPr>
      <w:r>
        <w:rPr>
          <w:rFonts w:cs="Arial"/>
          <w:sz w:val="24"/>
          <w:szCs w:val="24"/>
        </w:rPr>
        <w:t>Modo de disputa: aberto</w:t>
      </w:r>
    </w:p>
    <w:p w:rsidR="00B963EC" w:rsidRDefault="00B963EC" w:rsidP="00B963EC">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B963EC" w:rsidRDefault="00B963EC" w:rsidP="00B963EC">
      <w:pPr>
        <w:spacing w:line="360" w:lineRule="auto"/>
        <w:ind w:firstLine="1134"/>
        <w:jc w:val="both"/>
        <w:rPr>
          <w:rFonts w:cs="Arial"/>
          <w:sz w:val="18"/>
          <w:szCs w:val="18"/>
        </w:rPr>
      </w:pPr>
    </w:p>
    <w:p w:rsidR="00B963EC" w:rsidRDefault="00B963EC" w:rsidP="00B963EC">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w:t>
      </w:r>
      <w:r>
        <w:rPr>
          <w:rFonts w:cs="Arial"/>
          <w:b/>
          <w:spacing w:val="0"/>
          <w:sz w:val="24"/>
          <w:szCs w:val="24"/>
          <w:u w:val="single"/>
        </w:rPr>
        <w:t>ns, para futuras aquisições de Equipamentos Ortopédicos</w:t>
      </w:r>
      <w:r>
        <w:rPr>
          <w:rFonts w:cs="Arial"/>
          <w:b/>
          <w:spacing w:val="0"/>
          <w:sz w:val="24"/>
          <w:szCs w:val="24"/>
          <w:u w:val="single"/>
        </w:rPr>
        <w:t>.</w:t>
      </w:r>
    </w:p>
    <w:p w:rsidR="00B963EC" w:rsidRDefault="00B963EC" w:rsidP="00B963EC">
      <w:pPr>
        <w:pStyle w:val="Textoembloco1"/>
        <w:spacing w:line="360" w:lineRule="auto"/>
        <w:ind w:left="0" w:firstLine="5"/>
        <w:rPr>
          <w:rFonts w:cs="Arial"/>
          <w:sz w:val="18"/>
          <w:szCs w:val="18"/>
        </w:rPr>
      </w:pPr>
    </w:p>
    <w:p w:rsidR="00B963EC" w:rsidRDefault="00B963EC" w:rsidP="00B963EC">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w:t>
      </w:r>
      <w:r>
        <w:rPr>
          <w:rFonts w:cs="Arial"/>
          <w:sz w:val="24"/>
          <w:szCs w:val="24"/>
        </w:rPr>
        <w:t>ens para futuras aquisições de Equipamentos Ortopédicos</w:t>
      </w:r>
      <w:r>
        <w:rPr>
          <w:rFonts w:cs="Arial"/>
          <w:sz w:val="24"/>
          <w:szCs w:val="24"/>
        </w:rPr>
        <w:t>, conforme descrito neste edital e seus anexos, e nos termos da Lei Federal nº 14.133, de 1º de abril de 2021, e do Decreto Municipal nº 5452/2023.</w:t>
      </w:r>
    </w:p>
    <w:p w:rsidR="00B963EC" w:rsidRDefault="00B963EC" w:rsidP="00B963EC">
      <w:pPr>
        <w:spacing w:line="360" w:lineRule="auto"/>
        <w:jc w:val="both"/>
        <w:rPr>
          <w:rFonts w:cs="Arial"/>
          <w:sz w:val="18"/>
          <w:szCs w:val="18"/>
        </w:rPr>
      </w:pPr>
    </w:p>
    <w:p w:rsidR="00B963EC" w:rsidRDefault="00B963EC" w:rsidP="00B963EC">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03</w:t>
      </w:r>
      <w:r>
        <w:rPr>
          <w:rFonts w:cs="Arial"/>
          <w:bCs/>
          <w:sz w:val="24"/>
          <w:szCs w:val="24"/>
        </w:rPr>
        <w:t xml:space="preserve"> de julho de 2025, às 09:30h, podendo as propostas serem enviadas até às 09:00h, sendo que todas as referências de tempo observam o horário de Brasília.</w:t>
      </w:r>
    </w:p>
    <w:p w:rsidR="00B963EC" w:rsidRDefault="00B963EC" w:rsidP="00B963EC">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B963EC" w:rsidRDefault="00B963EC" w:rsidP="00B963EC">
      <w:pPr>
        <w:spacing w:line="360" w:lineRule="auto"/>
        <w:jc w:val="both"/>
        <w:rPr>
          <w:rFonts w:cs="Arial"/>
          <w:b/>
          <w:sz w:val="24"/>
          <w:szCs w:val="24"/>
        </w:rPr>
      </w:pPr>
    </w:p>
    <w:p w:rsidR="00B963EC" w:rsidRDefault="00B963EC" w:rsidP="00B963EC">
      <w:pPr>
        <w:spacing w:line="360" w:lineRule="auto"/>
        <w:jc w:val="both"/>
        <w:rPr>
          <w:rFonts w:cs="Arial"/>
          <w:sz w:val="24"/>
          <w:szCs w:val="24"/>
        </w:rPr>
      </w:pPr>
      <w:r>
        <w:rPr>
          <w:rFonts w:cs="Arial"/>
          <w:b/>
          <w:sz w:val="24"/>
          <w:szCs w:val="24"/>
        </w:rPr>
        <w:lastRenderedPageBreak/>
        <w:t>1. DO OBJETO:</w:t>
      </w:r>
    </w:p>
    <w:p w:rsidR="00B963EC" w:rsidRDefault="00B963EC" w:rsidP="00B963EC">
      <w:pPr>
        <w:spacing w:line="360" w:lineRule="auto"/>
        <w:jc w:val="both"/>
        <w:rPr>
          <w:rFonts w:cs="Arial"/>
          <w:sz w:val="24"/>
          <w:szCs w:val="24"/>
        </w:rPr>
      </w:pPr>
      <w:r>
        <w:rPr>
          <w:rFonts w:cs="Arial"/>
          <w:sz w:val="24"/>
          <w:szCs w:val="24"/>
        </w:rPr>
        <w:t>1.1 - Constitui objeto da presente licitação o registro de preços unitár</w:t>
      </w:r>
      <w:r>
        <w:rPr>
          <w:rFonts w:cs="Arial"/>
          <w:sz w:val="24"/>
          <w:szCs w:val="24"/>
        </w:rPr>
        <w:t>ios para futuras aquisições de Equipamentos Ortopédicos</w:t>
      </w:r>
      <w:r>
        <w:rPr>
          <w:rFonts w:cs="Arial"/>
          <w:sz w:val="24"/>
          <w:szCs w:val="24"/>
        </w:rPr>
        <w:t>, cujas descrições e condições de entrega estão detalhadas no Termo de Referência (Anexo I):</w:t>
      </w:r>
    </w:p>
    <w:p w:rsidR="00B963EC" w:rsidRDefault="00B963EC" w:rsidP="00B963EC">
      <w:pPr>
        <w:spacing w:line="360" w:lineRule="auto"/>
        <w:jc w:val="both"/>
        <w:rPr>
          <w:rFonts w:cs="Arial"/>
          <w:sz w:val="24"/>
          <w:szCs w:val="24"/>
        </w:rPr>
      </w:pPr>
      <w:r>
        <w:rPr>
          <w:rFonts w:cs="Arial"/>
          <w:sz w:val="24"/>
          <w:szCs w:val="24"/>
        </w:rPr>
        <w:t>Itens relacionados:</w:t>
      </w:r>
    </w:p>
    <w:p w:rsidR="00B963EC" w:rsidRDefault="00B963EC" w:rsidP="00B963EC">
      <w:pPr>
        <w:spacing w:line="360" w:lineRule="auto"/>
        <w:jc w:val="both"/>
        <w:rPr>
          <w:rFonts w:cs="Arial"/>
          <w:sz w:val="24"/>
          <w:szCs w:val="24"/>
        </w:rPr>
      </w:pPr>
    </w:p>
    <w:tbl>
      <w:tblPr>
        <w:tblW w:w="8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
        <w:gridCol w:w="3630"/>
        <w:gridCol w:w="1359"/>
        <w:gridCol w:w="1029"/>
        <w:gridCol w:w="1129"/>
        <w:gridCol w:w="1121"/>
      </w:tblGrid>
      <w:tr w:rsidR="00B963EC" w:rsidTr="00B963EC">
        <w:tc>
          <w:tcPr>
            <w:tcW w:w="636" w:type="dxa"/>
            <w:tcBorders>
              <w:top w:val="single" w:sz="6" w:space="0" w:color="auto"/>
              <w:left w:val="single" w:sz="6" w:space="0" w:color="auto"/>
              <w:bottom w:val="single" w:sz="6" w:space="0" w:color="auto"/>
              <w:right w:val="single" w:sz="6" w:space="0" w:color="auto"/>
            </w:tcBorders>
            <w:hideMark/>
          </w:tcPr>
          <w:p w:rsidR="00B963EC" w:rsidRDefault="00B963EC">
            <w:pPr>
              <w:spacing w:line="252" w:lineRule="auto"/>
              <w:jc w:val="center"/>
              <w:textAlignment w:val="baseline"/>
              <w:rPr>
                <w:rFonts w:cs="Arial"/>
                <w:b/>
                <w:bCs/>
                <w:szCs w:val="22"/>
                <w:lang w:eastAsia="pt-BR"/>
              </w:rPr>
            </w:pPr>
            <w:r>
              <w:rPr>
                <w:rFonts w:cs="Arial"/>
                <w:b/>
                <w:bCs/>
                <w:szCs w:val="22"/>
                <w:lang w:eastAsia="pt-BR"/>
              </w:rPr>
              <w:t>ITEM</w:t>
            </w:r>
          </w:p>
        </w:tc>
        <w:tc>
          <w:tcPr>
            <w:tcW w:w="3630" w:type="dxa"/>
            <w:tcBorders>
              <w:top w:val="single" w:sz="6" w:space="0" w:color="auto"/>
              <w:left w:val="single" w:sz="6" w:space="0" w:color="auto"/>
              <w:bottom w:val="single" w:sz="6" w:space="0" w:color="auto"/>
              <w:right w:val="single" w:sz="6" w:space="0" w:color="auto"/>
            </w:tcBorders>
            <w:hideMark/>
          </w:tcPr>
          <w:p w:rsidR="00B963EC" w:rsidRDefault="00B963EC">
            <w:pPr>
              <w:spacing w:line="252" w:lineRule="auto"/>
              <w:jc w:val="center"/>
              <w:textAlignment w:val="baseline"/>
              <w:rPr>
                <w:rFonts w:cs="Arial"/>
                <w:szCs w:val="22"/>
                <w:lang w:eastAsia="pt-BR"/>
              </w:rPr>
            </w:pPr>
            <w:r>
              <w:rPr>
                <w:rFonts w:cs="Arial"/>
                <w:b/>
                <w:bCs/>
                <w:szCs w:val="22"/>
                <w:lang w:eastAsia="pt-BR"/>
              </w:rPr>
              <w:t>Material</w:t>
            </w:r>
            <w:r>
              <w:rPr>
                <w:rFonts w:cs="Arial"/>
                <w:szCs w:val="22"/>
                <w:lang w:eastAsia="pt-BR"/>
              </w:rPr>
              <w:t> </w:t>
            </w:r>
          </w:p>
        </w:tc>
        <w:tc>
          <w:tcPr>
            <w:tcW w:w="1359" w:type="dxa"/>
            <w:tcBorders>
              <w:top w:val="single" w:sz="6" w:space="0" w:color="auto"/>
              <w:left w:val="single" w:sz="6" w:space="0" w:color="auto"/>
              <w:bottom w:val="single" w:sz="6" w:space="0" w:color="auto"/>
              <w:right w:val="single" w:sz="6" w:space="0" w:color="auto"/>
            </w:tcBorders>
            <w:hideMark/>
          </w:tcPr>
          <w:p w:rsidR="00B963EC" w:rsidRDefault="00B963EC">
            <w:pPr>
              <w:spacing w:line="252" w:lineRule="auto"/>
              <w:jc w:val="center"/>
              <w:textAlignment w:val="baseline"/>
              <w:rPr>
                <w:rFonts w:cs="Arial"/>
                <w:b/>
                <w:bCs/>
                <w:szCs w:val="22"/>
                <w:lang w:eastAsia="pt-BR"/>
              </w:rPr>
            </w:pPr>
            <w:proofErr w:type="spellStart"/>
            <w:r>
              <w:rPr>
                <w:rFonts w:cs="Arial"/>
                <w:b/>
                <w:bCs/>
                <w:szCs w:val="22"/>
                <w:lang w:eastAsia="pt-BR"/>
              </w:rPr>
              <w:t>Qtd</w:t>
            </w:r>
            <w:proofErr w:type="spellEnd"/>
            <w:r>
              <w:rPr>
                <w:rFonts w:cs="Arial"/>
                <w:b/>
                <w:bCs/>
                <w:szCs w:val="22"/>
                <w:lang w:eastAsia="pt-BR"/>
              </w:rPr>
              <w:t xml:space="preserve">. </w:t>
            </w:r>
            <w:proofErr w:type="spellStart"/>
            <w:r>
              <w:rPr>
                <w:rFonts w:cs="Arial"/>
                <w:b/>
                <w:bCs/>
                <w:szCs w:val="22"/>
                <w:lang w:eastAsia="pt-BR"/>
              </w:rPr>
              <w:t>máx</w:t>
            </w:r>
            <w:proofErr w:type="spellEnd"/>
          </w:p>
        </w:tc>
        <w:tc>
          <w:tcPr>
            <w:tcW w:w="1029" w:type="dxa"/>
            <w:tcBorders>
              <w:top w:val="single" w:sz="6" w:space="0" w:color="auto"/>
              <w:left w:val="single" w:sz="6" w:space="0" w:color="auto"/>
              <w:bottom w:val="single" w:sz="6" w:space="0" w:color="auto"/>
              <w:right w:val="single" w:sz="6" w:space="0" w:color="auto"/>
            </w:tcBorders>
            <w:hideMark/>
          </w:tcPr>
          <w:p w:rsidR="00B963EC" w:rsidRDefault="00B963EC">
            <w:pPr>
              <w:spacing w:line="252" w:lineRule="auto"/>
              <w:jc w:val="center"/>
              <w:textAlignment w:val="baseline"/>
              <w:rPr>
                <w:rFonts w:cs="Arial"/>
                <w:b/>
                <w:bCs/>
                <w:szCs w:val="22"/>
                <w:lang w:eastAsia="pt-BR"/>
              </w:rPr>
            </w:pPr>
            <w:proofErr w:type="spellStart"/>
            <w:r>
              <w:rPr>
                <w:rFonts w:cs="Arial"/>
                <w:b/>
                <w:bCs/>
                <w:szCs w:val="22"/>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hideMark/>
          </w:tcPr>
          <w:p w:rsidR="00B963EC" w:rsidRDefault="00B963EC">
            <w:pPr>
              <w:spacing w:line="252" w:lineRule="auto"/>
              <w:jc w:val="center"/>
              <w:textAlignment w:val="baseline"/>
              <w:rPr>
                <w:rFonts w:cs="Arial"/>
                <w:b/>
                <w:bCs/>
                <w:szCs w:val="22"/>
                <w:lang w:eastAsia="pt-BR"/>
              </w:rPr>
            </w:pPr>
            <w:r>
              <w:rPr>
                <w:rFonts w:cs="Arial"/>
                <w:b/>
                <w:bCs/>
                <w:szCs w:val="22"/>
                <w:lang w:eastAsia="pt-BR"/>
              </w:rPr>
              <w:t>V. Unit</w:t>
            </w:r>
          </w:p>
        </w:tc>
        <w:tc>
          <w:tcPr>
            <w:tcW w:w="1121" w:type="dxa"/>
            <w:tcBorders>
              <w:top w:val="single" w:sz="6" w:space="0" w:color="auto"/>
              <w:left w:val="single" w:sz="6" w:space="0" w:color="auto"/>
              <w:bottom w:val="single" w:sz="6" w:space="0" w:color="auto"/>
              <w:right w:val="single" w:sz="6" w:space="0" w:color="auto"/>
            </w:tcBorders>
            <w:hideMark/>
          </w:tcPr>
          <w:p w:rsidR="00B963EC" w:rsidRDefault="00B963EC">
            <w:pPr>
              <w:spacing w:line="252" w:lineRule="auto"/>
              <w:jc w:val="center"/>
              <w:textAlignment w:val="baseline"/>
              <w:rPr>
                <w:rFonts w:cs="Arial"/>
                <w:b/>
                <w:bCs/>
                <w:szCs w:val="22"/>
                <w:lang w:eastAsia="pt-BR"/>
              </w:rPr>
            </w:pPr>
            <w:r>
              <w:rPr>
                <w:rFonts w:cs="Arial"/>
                <w:b/>
                <w:bCs/>
                <w:szCs w:val="22"/>
                <w:lang w:eastAsia="pt-BR"/>
              </w:rPr>
              <w:t>V. Total</w:t>
            </w: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01</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Imobilizador de joelho</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10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02</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Tala tipo SAM SPLINT</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10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03</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Atadura ortopédica elástica</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1000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04</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Tipoia e imobilizador de ombro</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10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05</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Prancha rígida espinhal e de resgate</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02</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textAlignment w:val="baseline"/>
              <w:rPr>
                <w:rFonts w:cs="Arial"/>
                <w:bCs/>
                <w:color w:val="000000" w:themeColor="text1"/>
                <w:sz w:val="24"/>
                <w:szCs w:val="24"/>
                <w:lang w:eastAsia="pt-BR"/>
              </w:rPr>
            </w:pPr>
            <w:r>
              <w:rPr>
                <w:rFonts w:cs="Arial"/>
                <w:bCs/>
                <w:color w:val="000000" w:themeColor="text1"/>
                <w:sz w:val="24"/>
                <w:szCs w:val="24"/>
                <w:lang w:eastAsia="pt-BR"/>
              </w:rPr>
              <w:t>06</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Colar cervical G</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10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07</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Colar cervical M</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10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08</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Colar cervical P</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10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i/>
                <w:color w:val="000000" w:themeColor="text1"/>
                <w:sz w:val="24"/>
                <w:szCs w:val="24"/>
                <w:lang w:eastAsia="pt-BR"/>
              </w:rPr>
            </w:pPr>
            <w:r>
              <w:rPr>
                <w:rFonts w:cs="Arial"/>
                <w:i/>
                <w:color w:val="000000" w:themeColor="text1"/>
                <w:sz w:val="24"/>
                <w:szCs w:val="24"/>
                <w:lang w:eastAsia="pt-BR"/>
              </w:rPr>
              <w:t>09</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Kit tala EVA moldável aramada para imobilização</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sidRPr="0089062F">
              <w:rPr>
                <w:rFonts w:asciiTheme="minorHAnsi" w:hAnsiTheme="minorHAnsi" w:cstheme="minorHAnsi"/>
                <w:szCs w:val="22"/>
              </w:rPr>
              <w:t>200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r w:rsidR="00B963EC" w:rsidTr="00930BF6">
        <w:tc>
          <w:tcPr>
            <w:tcW w:w="636" w:type="dxa"/>
            <w:tcBorders>
              <w:top w:val="single" w:sz="6" w:space="0" w:color="auto"/>
              <w:left w:val="single" w:sz="6" w:space="0" w:color="auto"/>
              <w:bottom w:val="single" w:sz="6" w:space="0" w:color="auto"/>
              <w:right w:val="single" w:sz="6" w:space="0" w:color="auto"/>
            </w:tcBorders>
          </w:tcPr>
          <w:p w:rsidR="00B963EC" w:rsidRDefault="00B963EC" w:rsidP="00B963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10</w:t>
            </w:r>
          </w:p>
        </w:tc>
        <w:tc>
          <w:tcPr>
            <w:tcW w:w="3630"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Pr>
                <w:rFonts w:asciiTheme="minorHAnsi" w:hAnsiTheme="minorHAnsi" w:cstheme="minorHAnsi"/>
                <w:szCs w:val="22"/>
              </w:rPr>
              <w:t xml:space="preserve"> </w:t>
            </w:r>
            <w:proofErr w:type="spellStart"/>
            <w:r>
              <w:rPr>
                <w:rFonts w:asciiTheme="minorHAnsi" w:hAnsiTheme="minorHAnsi" w:cstheme="minorHAnsi"/>
                <w:szCs w:val="22"/>
              </w:rPr>
              <w:t>Infantômetro</w:t>
            </w:r>
            <w:proofErr w:type="spellEnd"/>
            <w:r>
              <w:rPr>
                <w:rFonts w:asciiTheme="minorHAnsi" w:hAnsiTheme="minorHAnsi" w:cstheme="minorHAnsi"/>
                <w:szCs w:val="22"/>
              </w:rPr>
              <w:t xml:space="preserve"> portátil horizontal</w:t>
            </w:r>
          </w:p>
        </w:tc>
        <w:tc>
          <w:tcPr>
            <w:tcW w:w="1359" w:type="dxa"/>
            <w:tcBorders>
              <w:top w:val="single" w:sz="6" w:space="0" w:color="auto"/>
              <w:left w:val="single" w:sz="6" w:space="0" w:color="auto"/>
              <w:bottom w:val="single" w:sz="6" w:space="0" w:color="auto"/>
              <w:right w:val="single" w:sz="6" w:space="0" w:color="auto"/>
            </w:tcBorders>
          </w:tcPr>
          <w:p w:rsidR="00B963EC" w:rsidRPr="0089062F" w:rsidRDefault="00B963EC" w:rsidP="00B963EC">
            <w:pPr>
              <w:rPr>
                <w:rFonts w:asciiTheme="minorHAnsi" w:hAnsiTheme="minorHAnsi" w:cstheme="minorHAnsi"/>
                <w:szCs w:val="22"/>
              </w:rPr>
            </w:pPr>
            <w:r>
              <w:rPr>
                <w:rFonts w:asciiTheme="minorHAnsi" w:hAnsiTheme="minorHAnsi" w:cstheme="minorHAnsi"/>
                <w:szCs w:val="22"/>
              </w:rPr>
              <w:t>10</w:t>
            </w:r>
          </w:p>
        </w:tc>
        <w:tc>
          <w:tcPr>
            <w:tcW w:w="1029" w:type="dxa"/>
            <w:tcBorders>
              <w:top w:val="single" w:sz="6" w:space="0" w:color="auto"/>
              <w:left w:val="single" w:sz="6" w:space="0" w:color="auto"/>
              <w:bottom w:val="single" w:sz="6" w:space="0" w:color="auto"/>
              <w:right w:val="single" w:sz="6" w:space="0" w:color="auto"/>
            </w:tcBorders>
            <w:vAlign w:val="bottom"/>
          </w:tcPr>
          <w:p w:rsidR="00B963EC" w:rsidRDefault="00B963EC" w:rsidP="00B963EC">
            <w:pPr>
              <w:spacing w:line="256" w:lineRule="auto"/>
              <w:rPr>
                <w:rFonts w:cs="Arial"/>
                <w:color w:val="000000"/>
                <w:sz w:val="24"/>
                <w:szCs w:val="24"/>
                <w:lang w:eastAsia="pt-BR"/>
              </w:rPr>
            </w:pPr>
            <w:proofErr w:type="spellStart"/>
            <w:r>
              <w:rPr>
                <w:rFonts w:cs="Arial"/>
                <w:color w:val="000000"/>
                <w:sz w:val="24"/>
                <w:szCs w:val="24"/>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c>
          <w:tcPr>
            <w:tcW w:w="1121" w:type="dxa"/>
            <w:tcBorders>
              <w:top w:val="single" w:sz="6" w:space="0" w:color="auto"/>
              <w:left w:val="single" w:sz="6" w:space="0" w:color="auto"/>
              <w:bottom w:val="single" w:sz="6" w:space="0" w:color="auto"/>
              <w:right w:val="single" w:sz="6" w:space="0" w:color="auto"/>
            </w:tcBorders>
            <w:vAlign w:val="center"/>
          </w:tcPr>
          <w:p w:rsidR="00B963EC" w:rsidRDefault="00B963EC" w:rsidP="00B963EC">
            <w:pPr>
              <w:spacing w:line="256" w:lineRule="auto"/>
              <w:rPr>
                <w:rFonts w:cs="Arial"/>
                <w:sz w:val="24"/>
                <w:szCs w:val="24"/>
                <w:lang w:eastAsia="pt-BR"/>
              </w:rPr>
            </w:pPr>
          </w:p>
        </w:tc>
      </w:tr>
    </w:tbl>
    <w:p w:rsidR="00B963EC" w:rsidRDefault="00B963EC" w:rsidP="00B963EC">
      <w:pPr>
        <w:pStyle w:val="Recuodecorpodetexto"/>
        <w:spacing w:before="0"/>
        <w:ind w:firstLine="0"/>
        <w:rPr>
          <w:rFonts w:cs="Arial"/>
          <w:sz w:val="24"/>
          <w:szCs w:val="24"/>
        </w:rPr>
      </w:pPr>
    </w:p>
    <w:p w:rsidR="00B963EC" w:rsidRDefault="00B963EC" w:rsidP="00B963EC">
      <w:pPr>
        <w:spacing w:line="360" w:lineRule="auto"/>
        <w:jc w:val="both"/>
        <w:rPr>
          <w:rFonts w:cs="Arial"/>
          <w:sz w:val="24"/>
          <w:szCs w:val="24"/>
        </w:rPr>
      </w:pPr>
      <w:r>
        <w:rPr>
          <w:rFonts w:cs="Arial"/>
          <w:sz w:val="24"/>
          <w:szCs w:val="24"/>
        </w:rPr>
        <w:t xml:space="preserve">1.2 - A entrega dos </w:t>
      </w:r>
      <w:r w:rsidR="003616C4">
        <w:rPr>
          <w:rFonts w:cs="Arial"/>
          <w:sz w:val="24"/>
          <w:szCs w:val="24"/>
        </w:rPr>
        <w:t>Equipamentos</w:t>
      </w:r>
      <w:r>
        <w:rPr>
          <w:rFonts w:cs="Arial"/>
          <w:sz w:val="24"/>
          <w:szCs w:val="24"/>
        </w:rPr>
        <w:t xml:space="preserve">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B963EC" w:rsidRDefault="00B963EC" w:rsidP="00B963EC">
      <w:pPr>
        <w:jc w:val="both"/>
        <w:rPr>
          <w:rFonts w:cs="Arial"/>
          <w:b/>
          <w:i/>
          <w:sz w:val="24"/>
          <w:szCs w:val="24"/>
          <w:u w:val="single"/>
        </w:rPr>
      </w:pPr>
      <w:proofErr w:type="gramStart"/>
      <w:r>
        <w:rPr>
          <w:rFonts w:cs="Arial"/>
          <w:sz w:val="24"/>
          <w:szCs w:val="24"/>
        </w:rPr>
        <w:t>1.3 Os</w:t>
      </w:r>
      <w:proofErr w:type="gramEnd"/>
      <w:r>
        <w:rPr>
          <w:rFonts w:cs="Arial"/>
          <w:sz w:val="24"/>
          <w:szCs w:val="24"/>
        </w:rPr>
        <w:t xml:space="preserve"> medicamentos deverão ser entregues conforme especificações do Edital e seus anexos, em perfeito estado de conservação e com </w:t>
      </w:r>
      <w:r>
        <w:rPr>
          <w:rFonts w:cs="Arial"/>
          <w:b/>
          <w:i/>
          <w:sz w:val="24"/>
          <w:szCs w:val="24"/>
          <w:u w:val="single"/>
        </w:rPr>
        <w:t>validade mínima de 12 meses.</w:t>
      </w:r>
    </w:p>
    <w:p w:rsidR="00B963EC" w:rsidRDefault="00B963EC" w:rsidP="00B963EC">
      <w:pPr>
        <w:spacing w:line="360" w:lineRule="auto"/>
        <w:jc w:val="both"/>
        <w:rPr>
          <w:rFonts w:cs="Arial"/>
          <w:sz w:val="24"/>
          <w:szCs w:val="24"/>
        </w:rPr>
      </w:pPr>
    </w:p>
    <w:p w:rsidR="00B963EC" w:rsidRDefault="00B963EC" w:rsidP="00B963EC">
      <w:pPr>
        <w:spacing w:line="360" w:lineRule="auto"/>
        <w:jc w:val="both"/>
        <w:rPr>
          <w:rFonts w:cs="Arial"/>
          <w:b/>
          <w:sz w:val="24"/>
          <w:szCs w:val="24"/>
        </w:rPr>
      </w:pPr>
      <w:r>
        <w:rPr>
          <w:rFonts w:cs="Arial"/>
          <w:b/>
          <w:sz w:val="24"/>
          <w:szCs w:val="24"/>
        </w:rPr>
        <w:t>2. CREDENCIAMENTO E PARTICIPAÇÃO DO CERTAME</w:t>
      </w:r>
    </w:p>
    <w:p w:rsidR="00B963EC" w:rsidRDefault="00B963EC" w:rsidP="00B963EC">
      <w:pPr>
        <w:spacing w:line="360" w:lineRule="auto"/>
        <w:jc w:val="both"/>
        <w:rPr>
          <w:rFonts w:cs="Arial"/>
          <w:bCs/>
          <w:sz w:val="24"/>
          <w:szCs w:val="24"/>
        </w:rPr>
      </w:pPr>
      <w:r>
        <w:rPr>
          <w:rFonts w:cs="Arial"/>
          <w:b/>
          <w:sz w:val="24"/>
          <w:szCs w:val="24"/>
        </w:rPr>
        <w:t xml:space="preserve">2.1. </w:t>
      </w:r>
      <w:r>
        <w:rPr>
          <w:rFonts w:cs="Arial"/>
          <w:bCs/>
          <w:sz w:val="24"/>
          <w:szCs w:val="24"/>
        </w:rPr>
        <w:t xml:space="preserve">Para participar do certame, o licitante deve providenciar o seu credenciamento, com atribuição de chave e senha, diretamente junto ao </w:t>
      </w:r>
      <w:r>
        <w:rPr>
          <w:rFonts w:cs="Arial"/>
          <w:bCs/>
          <w:sz w:val="24"/>
          <w:szCs w:val="24"/>
        </w:rPr>
        <w:lastRenderedPageBreak/>
        <w:t>provedor do sistema, onde deverá informar-se a respeito do seu funcionamento, regulamento e instruções para a sua correta utilização.</w:t>
      </w:r>
    </w:p>
    <w:p w:rsidR="00B963EC" w:rsidRDefault="00B963EC" w:rsidP="00B963EC">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B963EC" w:rsidRDefault="00B963EC" w:rsidP="00B963EC">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B963EC" w:rsidRDefault="00B963EC" w:rsidP="00B963E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963EC" w:rsidRDefault="00B963EC" w:rsidP="00B963EC">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963EC" w:rsidRDefault="00B963EC" w:rsidP="00B963E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B963EC" w:rsidRDefault="00B963EC" w:rsidP="00B963EC">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B963EC" w:rsidRDefault="00B963EC" w:rsidP="00B963E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B963EC" w:rsidRDefault="00B963EC" w:rsidP="00B963EC">
      <w:pPr>
        <w:spacing w:line="360" w:lineRule="auto"/>
        <w:jc w:val="both"/>
        <w:rPr>
          <w:rFonts w:cs="Arial"/>
          <w:sz w:val="24"/>
          <w:szCs w:val="24"/>
        </w:rPr>
      </w:pPr>
    </w:p>
    <w:p w:rsidR="00B963EC" w:rsidRDefault="00B963EC" w:rsidP="00B963EC">
      <w:pPr>
        <w:spacing w:line="360" w:lineRule="auto"/>
        <w:jc w:val="both"/>
        <w:rPr>
          <w:rFonts w:cs="Arial"/>
          <w:b/>
          <w:sz w:val="24"/>
          <w:szCs w:val="24"/>
        </w:rPr>
      </w:pPr>
      <w:r>
        <w:rPr>
          <w:rFonts w:cs="Arial"/>
          <w:b/>
          <w:sz w:val="24"/>
          <w:szCs w:val="24"/>
        </w:rPr>
        <w:t>3. ENVIO DAS PROPOSTAS</w:t>
      </w:r>
    </w:p>
    <w:p w:rsidR="00B963EC" w:rsidRDefault="00B963EC" w:rsidP="00B963E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B963EC" w:rsidRDefault="00B963EC" w:rsidP="00B963EC">
      <w:pPr>
        <w:spacing w:line="360" w:lineRule="auto"/>
        <w:jc w:val="both"/>
        <w:rPr>
          <w:rFonts w:cs="Arial"/>
          <w:bCs/>
          <w:sz w:val="24"/>
          <w:szCs w:val="24"/>
        </w:rPr>
      </w:pPr>
      <w:r>
        <w:rPr>
          <w:rFonts w:cs="Arial"/>
          <w:b/>
          <w:sz w:val="24"/>
          <w:szCs w:val="24"/>
        </w:rPr>
        <w:lastRenderedPageBreak/>
        <w:t xml:space="preserve">3.2. </w:t>
      </w:r>
      <w:r>
        <w:rPr>
          <w:rFonts w:cs="Arial"/>
          <w:bCs/>
          <w:sz w:val="24"/>
          <w:szCs w:val="24"/>
        </w:rPr>
        <w:t>O licitante deverá declarar, em campo próprio do sistema, sendo que a falsidade da declaração sujeitará o licitante às sanções legais:</w:t>
      </w:r>
    </w:p>
    <w:p w:rsidR="00B963EC" w:rsidRDefault="00B963EC" w:rsidP="00B963E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B963EC" w:rsidRDefault="00B963EC" w:rsidP="00B963EC">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B963EC" w:rsidRDefault="00B963EC" w:rsidP="00B963EC">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proofErr w:type="gramStart"/>
      <w:r>
        <w:rPr>
          <w:color w:val="auto"/>
        </w:rPr>
        <w:t>caso</w:t>
      </w:r>
      <w:proofErr w:type="gramEnd"/>
      <w:r>
        <w:rPr>
          <w:color w:val="auto"/>
        </w:rPr>
        <w:t xml:space="preserve">,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B963EC" w:rsidRDefault="00B963EC" w:rsidP="00B963EC">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B963EC" w:rsidRDefault="00B963EC" w:rsidP="00B963EC">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B963EC" w:rsidRDefault="00B963EC" w:rsidP="00B963EC">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B963EC" w:rsidRDefault="00B963EC" w:rsidP="00B963EC">
      <w:pPr>
        <w:spacing w:line="360" w:lineRule="auto"/>
        <w:jc w:val="both"/>
        <w:rPr>
          <w:rFonts w:cs="Arial"/>
          <w:sz w:val="24"/>
          <w:szCs w:val="24"/>
        </w:rPr>
      </w:pPr>
      <w:r>
        <w:rPr>
          <w:rFonts w:cs="Arial"/>
          <w:b/>
          <w:sz w:val="24"/>
          <w:szCs w:val="24"/>
        </w:rPr>
        <w:lastRenderedPageBreak/>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B963EC" w:rsidRDefault="00B963EC" w:rsidP="00B963EC">
      <w:pPr>
        <w:spacing w:line="360" w:lineRule="auto"/>
        <w:jc w:val="both"/>
        <w:rPr>
          <w:rFonts w:cs="Arial"/>
          <w:b/>
          <w:sz w:val="24"/>
          <w:szCs w:val="24"/>
        </w:rPr>
      </w:pPr>
    </w:p>
    <w:p w:rsidR="00B963EC" w:rsidRDefault="00B963EC" w:rsidP="00B963EC">
      <w:pPr>
        <w:spacing w:line="360" w:lineRule="auto"/>
        <w:jc w:val="both"/>
        <w:rPr>
          <w:rFonts w:cs="Arial"/>
          <w:b/>
          <w:sz w:val="24"/>
          <w:szCs w:val="24"/>
        </w:rPr>
      </w:pPr>
      <w:r>
        <w:rPr>
          <w:rFonts w:cs="Arial"/>
          <w:b/>
          <w:sz w:val="24"/>
          <w:szCs w:val="24"/>
        </w:rPr>
        <w:t>4. PROPOSTA</w:t>
      </w:r>
    </w:p>
    <w:p w:rsidR="00B963EC" w:rsidRDefault="00B963EC" w:rsidP="00B963EC">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B963EC" w:rsidRDefault="00B963EC" w:rsidP="00B963EC">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963EC" w:rsidRDefault="00B963EC" w:rsidP="00B963EC">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B963EC" w:rsidRDefault="00B963EC" w:rsidP="00B963EC">
      <w:pPr>
        <w:spacing w:line="360" w:lineRule="auto"/>
        <w:jc w:val="both"/>
        <w:rPr>
          <w:rFonts w:cs="Arial"/>
          <w:bCs/>
          <w:sz w:val="24"/>
          <w:szCs w:val="24"/>
        </w:rPr>
      </w:pPr>
    </w:p>
    <w:p w:rsidR="00B963EC" w:rsidRDefault="00B963EC" w:rsidP="00B963EC">
      <w:pPr>
        <w:spacing w:line="360" w:lineRule="auto"/>
        <w:jc w:val="both"/>
        <w:rPr>
          <w:rFonts w:cs="Arial"/>
          <w:b/>
          <w:sz w:val="24"/>
          <w:szCs w:val="24"/>
        </w:rPr>
      </w:pPr>
      <w:r>
        <w:rPr>
          <w:rFonts w:cs="Arial"/>
          <w:b/>
          <w:sz w:val="24"/>
          <w:szCs w:val="24"/>
        </w:rPr>
        <w:t>5. DOCUMENTOS DE HABILITAÇÃO</w:t>
      </w:r>
    </w:p>
    <w:p w:rsidR="00B963EC" w:rsidRDefault="00B963EC" w:rsidP="00B963EC">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B963EC" w:rsidRDefault="00B963EC" w:rsidP="00B963EC">
      <w:pPr>
        <w:tabs>
          <w:tab w:val="left" w:pos="1134"/>
        </w:tabs>
        <w:spacing w:line="360" w:lineRule="auto"/>
        <w:jc w:val="both"/>
        <w:rPr>
          <w:rFonts w:cs="Arial"/>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5.1. HABILITAÇÃO JURÍDICA</w:t>
      </w:r>
    </w:p>
    <w:p w:rsidR="00B963EC" w:rsidRDefault="00B963EC" w:rsidP="00B963E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B963EC" w:rsidRDefault="00B963EC" w:rsidP="00B963EC">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B963EC" w:rsidRDefault="00B963EC" w:rsidP="00B963EC">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B963EC" w:rsidRDefault="00B963EC" w:rsidP="00B963EC">
      <w:pPr>
        <w:tabs>
          <w:tab w:val="left" w:pos="1134"/>
        </w:tabs>
        <w:spacing w:line="360" w:lineRule="auto"/>
        <w:jc w:val="both"/>
        <w:rPr>
          <w:rFonts w:cs="Arial"/>
          <w:b/>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5.2. HABILITAÇÃO FISCAL, SOCIAL E TRABALHISTA</w:t>
      </w:r>
    </w:p>
    <w:p w:rsidR="00B963EC" w:rsidRDefault="00B963EC" w:rsidP="00B963EC">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963EC" w:rsidRDefault="00B963EC" w:rsidP="00B963EC">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B963EC" w:rsidRDefault="00B963EC" w:rsidP="00B963EC">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B963EC" w:rsidRDefault="00B963EC" w:rsidP="00B963EC">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B963EC" w:rsidRDefault="00B963EC" w:rsidP="00B963EC">
      <w:pPr>
        <w:pStyle w:val="NormalWeb"/>
        <w:spacing w:before="0" w:beforeAutospacing="0" w:after="0" w:afterAutospacing="0" w:line="360" w:lineRule="auto"/>
        <w:jc w:val="both"/>
        <w:rPr>
          <w:rFonts w:ascii="Arial" w:hAnsi="Arial" w:cs="Arial"/>
        </w:rPr>
      </w:pPr>
    </w:p>
    <w:p w:rsidR="00B963EC" w:rsidRDefault="00B963EC" w:rsidP="00B963EC">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B963EC" w:rsidRDefault="00B963EC" w:rsidP="00B963EC">
      <w:pPr>
        <w:spacing w:line="360" w:lineRule="auto"/>
        <w:jc w:val="both"/>
        <w:rPr>
          <w:rFonts w:cs="Arial"/>
          <w:b/>
          <w:sz w:val="24"/>
          <w:szCs w:val="24"/>
        </w:rPr>
      </w:pPr>
      <w:bookmarkStart w:id="8" w:name="_Hlk508883518"/>
      <w:r>
        <w:rPr>
          <w:rFonts w:cs="Arial"/>
          <w:b/>
          <w:sz w:val="24"/>
          <w:szCs w:val="24"/>
        </w:rPr>
        <w:lastRenderedPageBreak/>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8"/>
    <w:p w:rsidR="00B963EC" w:rsidRDefault="00B963EC" w:rsidP="00B963EC">
      <w:pPr>
        <w:spacing w:line="360" w:lineRule="auto"/>
        <w:jc w:val="both"/>
        <w:rPr>
          <w:rFonts w:cs="Arial"/>
          <w:b/>
          <w:sz w:val="24"/>
          <w:szCs w:val="24"/>
        </w:rPr>
      </w:pPr>
    </w:p>
    <w:p w:rsidR="00B963EC" w:rsidRDefault="00B963EC" w:rsidP="00B963EC">
      <w:pPr>
        <w:spacing w:line="360" w:lineRule="auto"/>
        <w:jc w:val="both"/>
        <w:rPr>
          <w:rFonts w:cs="Arial"/>
          <w:b/>
          <w:sz w:val="24"/>
          <w:szCs w:val="24"/>
        </w:rPr>
      </w:pPr>
      <w:r>
        <w:rPr>
          <w:rFonts w:cs="Arial"/>
          <w:b/>
          <w:sz w:val="24"/>
          <w:szCs w:val="24"/>
        </w:rPr>
        <w:t>6. VEDAÇÕES</w:t>
      </w:r>
    </w:p>
    <w:p w:rsidR="00B963EC" w:rsidRDefault="00B963EC" w:rsidP="00B963EC">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B963EC" w:rsidRDefault="00B963EC" w:rsidP="00B963E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B963EC" w:rsidRDefault="00B963EC" w:rsidP="00B963EC">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B963EC" w:rsidRDefault="00B963EC" w:rsidP="00B963EC">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6" w:history="1">
        <w:r>
          <w:rPr>
            <w:rStyle w:val="Hyperlink"/>
            <w:rFonts w:ascii="Arial" w:eastAsiaTheme="majorEastAsia" w:hAnsi="Arial" w:cs="Arial"/>
          </w:rPr>
          <w:t>Lei nº 6.404, de 15 de dezembro de 1976</w:t>
        </w:r>
      </w:hyperlink>
      <w:r>
        <w:rPr>
          <w:rFonts w:ascii="Arial" w:hAnsi="Arial" w:cs="Arial"/>
        </w:rPr>
        <w:t>, concorrendo entre si;</w:t>
      </w:r>
    </w:p>
    <w:p w:rsidR="00B963EC" w:rsidRDefault="00B963EC" w:rsidP="00B963EC">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3"/>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963EC" w:rsidRDefault="00B963EC" w:rsidP="00B963EC">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4"/>
      </w:r>
      <w:r>
        <w:rPr>
          <w:rFonts w:cs="Arial"/>
          <w:sz w:val="24"/>
          <w:szCs w:val="24"/>
        </w:rPr>
        <w:t>.</w:t>
      </w:r>
    </w:p>
    <w:p w:rsidR="00B963EC" w:rsidRDefault="00B963EC" w:rsidP="00B963EC">
      <w:pPr>
        <w:tabs>
          <w:tab w:val="left" w:pos="1134"/>
        </w:tabs>
        <w:spacing w:line="360" w:lineRule="auto"/>
        <w:jc w:val="both"/>
        <w:rPr>
          <w:rFonts w:cs="Arial"/>
          <w:sz w:val="24"/>
          <w:szCs w:val="24"/>
        </w:rPr>
      </w:pPr>
    </w:p>
    <w:p w:rsidR="00B963EC" w:rsidRDefault="00B963EC" w:rsidP="00B963EC">
      <w:pPr>
        <w:spacing w:line="360" w:lineRule="auto"/>
        <w:jc w:val="both"/>
        <w:rPr>
          <w:rFonts w:cs="Arial"/>
          <w:b/>
          <w:sz w:val="24"/>
          <w:szCs w:val="24"/>
        </w:rPr>
      </w:pPr>
      <w:r>
        <w:rPr>
          <w:rFonts w:cs="Arial"/>
          <w:b/>
          <w:sz w:val="24"/>
          <w:szCs w:val="24"/>
        </w:rPr>
        <w:t>7. ABERTURA DA SESSÃO PÚBLICA</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B963EC" w:rsidRDefault="00B963EC" w:rsidP="00B963EC">
      <w:pPr>
        <w:tabs>
          <w:tab w:val="left" w:pos="1134"/>
        </w:tabs>
        <w:spacing w:line="360" w:lineRule="auto"/>
        <w:jc w:val="both"/>
        <w:rPr>
          <w:rFonts w:cs="Arial"/>
          <w:bCs/>
          <w:sz w:val="24"/>
          <w:szCs w:val="24"/>
        </w:rPr>
      </w:pPr>
    </w:p>
    <w:p w:rsidR="00B963EC" w:rsidRDefault="00B963EC" w:rsidP="00B963EC">
      <w:pPr>
        <w:spacing w:line="360" w:lineRule="auto"/>
        <w:jc w:val="both"/>
        <w:rPr>
          <w:rFonts w:cs="Arial"/>
          <w:b/>
          <w:sz w:val="24"/>
          <w:szCs w:val="24"/>
        </w:rPr>
      </w:pPr>
      <w:r>
        <w:rPr>
          <w:rFonts w:cs="Arial"/>
          <w:b/>
          <w:sz w:val="24"/>
          <w:szCs w:val="24"/>
        </w:rPr>
        <w:lastRenderedPageBreak/>
        <w:t>8. CLASSIFICAÇÃO INICIAL DAS PROPOSTAS E FORMULAÇÃO DE LANCES</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B963EC" w:rsidRDefault="00B963EC" w:rsidP="00B963EC">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B963EC" w:rsidRDefault="00B963EC" w:rsidP="00B963EC">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B963EC" w:rsidRDefault="00B963EC" w:rsidP="00B963EC">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B963EC" w:rsidRDefault="00B963EC" w:rsidP="00B963EC">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B963EC" w:rsidRDefault="00B963EC" w:rsidP="00B963EC">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963EC" w:rsidRDefault="00B963EC" w:rsidP="00B963EC">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B963EC" w:rsidRDefault="00B963EC" w:rsidP="00B963EC">
      <w:pPr>
        <w:tabs>
          <w:tab w:val="left" w:pos="1134"/>
        </w:tabs>
        <w:spacing w:line="360" w:lineRule="auto"/>
        <w:jc w:val="both"/>
        <w:rPr>
          <w:rFonts w:cs="Arial"/>
          <w:bCs/>
          <w:sz w:val="24"/>
          <w:szCs w:val="24"/>
        </w:rPr>
      </w:pPr>
      <w:r>
        <w:rPr>
          <w:rFonts w:cs="Arial"/>
          <w:b/>
          <w:sz w:val="24"/>
          <w:szCs w:val="24"/>
        </w:rPr>
        <w:lastRenderedPageBreak/>
        <w:t>8.7.1.</w:t>
      </w:r>
      <w:r>
        <w:rPr>
          <w:rFonts w:cs="Arial"/>
          <w:bCs/>
          <w:sz w:val="24"/>
          <w:szCs w:val="24"/>
        </w:rPr>
        <w:t xml:space="preserve"> O licitante será imediatamente informado do recebimento do lance e do valor consignado no registro.</w:t>
      </w:r>
    </w:p>
    <w:p w:rsidR="00B963EC" w:rsidRDefault="00B963EC" w:rsidP="00B963EC">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B963EC" w:rsidRDefault="00B963EC" w:rsidP="00B963EC">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B963EC" w:rsidRDefault="00B963EC" w:rsidP="00B963EC">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B963EC" w:rsidRDefault="00B963EC" w:rsidP="00B963EC">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963EC" w:rsidRDefault="00B963EC" w:rsidP="00B963EC">
      <w:pPr>
        <w:pStyle w:val="NormalWeb"/>
        <w:spacing w:before="0" w:beforeAutospacing="0" w:after="0" w:afterAutospacing="0" w:line="360" w:lineRule="auto"/>
        <w:jc w:val="both"/>
        <w:rPr>
          <w:rFonts w:ascii="Arial" w:hAnsi="Arial" w:cs="Arial"/>
          <w:b/>
          <w:sz w:val="22"/>
          <w:szCs w:val="22"/>
        </w:rPr>
      </w:pPr>
    </w:p>
    <w:p w:rsidR="00B963EC" w:rsidRDefault="00B963EC" w:rsidP="00B963EC">
      <w:pPr>
        <w:tabs>
          <w:tab w:val="left" w:pos="1134"/>
        </w:tabs>
        <w:spacing w:line="360" w:lineRule="auto"/>
        <w:jc w:val="both"/>
        <w:rPr>
          <w:rFonts w:cs="Arial"/>
          <w:b/>
          <w:sz w:val="24"/>
          <w:szCs w:val="24"/>
        </w:rPr>
      </w:pPr>
      <w:r>
        <w:rPr>
          <w:rFonts w:cs="Arial"/>
          <w:b/>
          <w:sz w:val="24"/>
          <w:szCs w:val="24"/>
        </w:rPr>
        <w:t>9. MODO DE DISPUTA</w:t>
      </w:r>
    </w:p>
    <w:p w:rsidR="00B963EC" w:rsidRDefault="00B963EC" w:rsidP="00B963EC">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B963EC" w:rsidRDefault="00B963EC" w:rsidP="00B963EC">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B963EC" w:rsidRDefault="00B963EC" w:rsidP="00B963EC">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B963EC" w:rsidRDefault="00B963EC" w:rsidP="00B963EC">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B963EC" w:rsidRDefault="00B963EC" w:rsidP="00B963EC">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963EC" w:rsidRDefault="00B963EC" w:rsidP="00B963EC">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B963EC" w:rsidRDefault="00B963EC" w:rsidP="00B963EC">
      <w:pPr>
        <w:tabs>
          <w:tab w:val="left" w:pos="1134"/>
        </w:tabs>
        <w:spacing w:line="360" w:lineRule="auto"/>
        <w:jc w:val="both"/>
        <w:rPr>
          <w:rFonts w:cs="Arial"/>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10. CRITÉRIOS DE DESEMPATE</w:t>
      </w:r>
    </w:p>
    <w:p w:rsidR="00B963EC" w:rsidRDefault="00B963EC" w:rsidP="00B963EC">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963EC" w:rsidRDefault="00B963EC" w:rsidP="00B963EC">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963EC" w:rsidRDefault="00B963EC" w:rsidP="00B963EC">
      <w:pPr>
        <w:tabs>
          <w:tab w:val="left" w:pos="1134"/>
        </w:tabs>
        <w:spacing w:line="360" w:lineRule="auto"/>
        <w:jc w:val="both"/>
        <w:rPr>
          <w:rFonts w:cs="Arial"/>
          <w:sz w:val="24"/>
          <w:szCs w:val="24"/>
        </w:rPr>
      </w:pPr>
      <w:r>
        <w:rPr>
          <w:rFonts w:cs="Arial"/>
          <w:b/>
          <w:sz w:val="24"/>
          <w:szCs w:val="24"/>
        </w:rPr>
        <w:lastRenderedPageBreak/>
        <w:t xml:space="preserve">10.1.3. </w:t>
      </w:r>
      <w:r>
        <w:rPr>
          <w:rFonts w:cs="Arial"/>
          <w:sz w:val="24"/>
          <w:szCs w:val="24"/>
        </w:rPr>
        <w:t>Ocorrendo o empate, na forma do subitem anterior, proceder-se-á da seguinte forma:</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963EC" w:rsidRDefault="00B963EC" w:rsidP="00B963EC">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B963EC" w:rsidRDefault="00B963EC" w:rsidP="00B963EC">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5"/>
      </w:r>
      <w:r>
        <w:rPr>
          <w:rFonts w:ascii="Arial" w:hAnsi="Arial" w:cs="Arial"/>
        </w:rPr>
        <w:t>:</w:t>
      </w:r>
    </w:p>
    <w:p w:rsidR="00B963EC" w:rsidRDefault="00B963EC" w:rsidP="00B963EC">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B963EC" w:rsidRDefault="00B963EC" w:rsidP="00B963EC">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963EC" w:rsidRDefault="00B963EC" w:rsidP="00B963EC">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B963EC" w:rsidRDefault="00B963EC" w:rsidP="00B963EC">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B963EC" w:rsidRDefault="00B963EC" w:rsidP="00B963EC">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B963EC" w:rsidRDefault="00B963EC" w:rsidP="00B963EC">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lastRenderedPageBreak/>
        <w:t>a)</w:t>
      </w:r>
      <w:r>
        <w:rPr>
          <w:rFonts w:ascii="Arial" w:hAnsi="Arial" w:cs="Arial"/>
        </w:rPr>
        <w:t xml:space="preserve"> empresas estabelecidas no território do Estado [...];</w:t>
      </w:r>
    </w:p>
    <w:p w:rsidR="00B963EC" w:rsidRDefault="00B963EC" w:rsidP="00B963EC">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B963EC" w:rsidRDefault="00B963EC" w:rsidP="00B963EC">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B963EC" w:rsidRDefault="00B963EC" w:rsidP="00B963EC">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7" w:history="1">
        <w:r>
          <w:rPr>
            <w:rStyle w:val="Hyperlink"/>
            <w:rFonts w:ascii="Arial" w:eastAsiaTheme="majorEastAsia" w:hAnsi="Arial" w:cs="Arial"/>
          </w:rPr>
          <w:t>Lei nº 12.187, de 29 de dezembro de 2009.</w:t>
        </w:r>
      </w:hyperlink>
    </w:p>
    <w:p w:rsidR="00B963EC" w:rsidRDefault="00B963EC" w:rsidP="00B963EC">
      <w:pPr>
        <w:tabs>
          <w:tab w:val="left" w:pos="1134"/>
        </w:tabs>
        <w:spacing w:line="360" w:lineRule="auto"/>
        <w:jc w:val="both"/>
        <w:rPr>
          <w:rFonts w:cs="Arial"/>
          <w:b/>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11. NEGOCIAÇÃO E JULGAMENTO</w:t>
      </w:r>
    </w:p>
    <w:p w:rsidR="00B963EC" w:rsidRDefault="00B963EC" w:rsidP="00B963EC">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963EC" w:rsidRDefault="00B963EC" w:rsidP="00B963EC">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963EC" w:rsidRDefault="00B963EC" w:rsidP="00B963EC">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963EC" w:rsidRDefault="00B963EC" w:rsidP="00B963EC">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B963EC" w:rsidRDefault="00B963EC" w:rsidP="00B963EC">
      <w:pPr>
        <w:spacing w:line="360" w:lineRule="auto"/>
        <w:jc w:val="both"/>
        <w:rPr>
          <w:rFonts w:cs="Arial"/>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12. VERIFICAÇÃO DA HABILITAÇÃO</w:t>
      </w:r>
    </w:p>
    <w:p w:rsidR="00B963EC" w:rsidRDefault="00B963EC" w:rsidP="00B963EC">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B963EC" w:rsidRDefault="00B963EC" w:rsidP="00B963EC">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B963EC" w:rsidRDefault="00B963EC" w:rsidP="00B963EC">
      <w:pPr>
        <w:pStyle w:val="Default"/>
        <w:spacing w:line="360" w:lineRule="auto"/>
        <w:jc w:val="both"/>
      </w:pPr>
      <w:r>
        <w:rPr>
          <w:b/>
          <w:bCs/>
        </w:rPr>
        <w:lastRenderedPageBreak/>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B963EC" w:rsidRDefault="00B963EC" w:rsidP="00B963EC">
      <w:pPr>
        <w:pStyle w:val="Default"/>
        <w:spacing w:line="360" w:lineRule="auto"/>
        <w:jc w:val="both"/>
      </w:pPr>
      <w:r>
        <w:rPr>
          <w:b/>
          <w:bCs/>
        </w:rPr>
        <w:t>b)</w:t>
      </w:r>
      <w:r>
        <w:t xml:space="preserve"> atualização de documentos cuja validade tenha expirado após a data de recebimento das propostas.</w:t>
      </w:r>
    </w:p>
    <w:p w:rsidR="00B963EC" w:rsidRDefault="00B963EC" w:rsidP="00B963EC">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963EC" w:rsidRDefault="00B963EC" w:rsidP="00B963EC">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B963EC" w:rsidRDefault="00B963EC" w:rsidP="00B963EC">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963EC" w:rsidRDefault="00B963EC" w:rsidP="00B963EC">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B963EC" w:rsidRDefault="00B963EC" w:rsidP="00B963EC">
      <w:pPr>
        <w:pStyle w:val="Default"/>
        <w:spacing w:line="360" w:lineRule="auto"/>
        <w:jc w:val="both"/>
        <w:rPr>
          <w:color w:val="auto"/>
        </w:rPr>
      </w:pPr>
      <w:r>
        <w:rPr>
          <w:b/>
          <w:bCs/>
          <w:color w:val="auto"/>
        </w:rPr>
        <w:lastRenderedPageBreak/>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B963EC" w:rsidRDefault="00B963EC" w:rsidP="00B963EC">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B963EC" w:rsidRDefault="00B963EC" w:rsidP="00B963EC">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B963EC" w:rsidRDefault="00B963EC" w:rsidP="00B963EC">
      <w:pPr>
        <w:spacing w:line="360" w:lineRule="auto"/>
        <w:jc w:val="both"/>
        <w:rPr>
          <w:rFonts w:cs="Arial"/>
          <w:b/>
          <w:bCs/>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 xml:space="preserve">13. DOS RECURSOS </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B963EC" w:rsidRDefault="00B963EC" w:rsidP="00B963EC">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B963EC" w:rsidRDefault="00B963EC" w:rsidP="00B963EC">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B963EC" w:rsidRDefault="00B963EC" w:rsidP="00B963EC">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B963EC" w:rsidRDefault="00B963EC" w:rsidP="00B963EC">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B963EC" w:rsidRDefault="00B963EC" w:rsidP="00B963EC">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B963EC" w:rsidRDefault="00B963EC" w:rsidP="00B963EC">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963EC" w:rsidRDefault="00B963EC" w:rsidP="00B963EC">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w:t>
      </w:r>
      <w:r>
        <w:rPr>
          <w:rFonts w:ascii="Arial" w:hAnsi="Arial" w:cs="Arial"/>
        </w:rPr>
        <w:lastRenderedPageBreak/>
        <w:t>(três) dias úteis, encaminhará o recurso com a sua motivação à autoridade superior, a qual deverá proferir sua decisão no prazo máximo de 10 (dez) dias úteis, contado do recebimento dos autos.</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B963EC" w:rsidRDefault="00B963EC" w:rsidP="00B963EC">
      <w:pPr>
        <w:pStyle w:val="NormalWeb"/>
        <w:spacing w:before="0" w:beforeAutospacing="0" w:after="0" w:afterAutospacing="0" w:line="360" w:lineRule="auto"/>
        <w:jc w:val="both"/>
        <w:rPr>
          <w:rFonts w:ascii="Arial" w:hAnsi="Arial" w:cs="Arial"/>
        </w:rPr>
      </w:pPr>
    </w:p>
    <w:p w:rsidR="00B963EC" w:rsidRDefault="00B963EC" w:rsidP="00B963EC">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B963EC" w:rsidRDefault="00B963EC" w:rsidP="00B963EC">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B963EC" w:rsidRDefault="00B963EC" w:rsidP="00B963EC">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B963EC" w:rsidRDefault="00B963EC" w:rsidP="00B963EC">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B963EC" w:rsidRDefault="00B963EC" w:rsidP="00B963EC">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B963EC" w:rsidRDefault="00B963EC" w:rsidP="00B963EC">
      <w:pPr>
        <w:tabs>
          <w:tab w:val="left" w:pos="1134"/>
        </w:tabs>
        <w:spacing w:line="360" w:lineRule="auto"/>
        <w:jc w:val="both"/>
        <w:rPr>
          <w:rFonts w:cs="Arial"/>
          <w:b/>
          <w:sz w:val="24"/>
          <w:szCs w:val="24"/>
        </w:rPr>
      </w:pPr>
      <w:bookmarkStart w:id="45" w:name="art71§1"/>
      <w:bookmarkEnd w:id="45"/>
    </w:p>
    <w:p w:rsidR="00B963EC" w:rsidRDefault="00B963EC" w:rsidP="00B963EC">
      <w:pPr>
        <w:tabs>
          <w:tab w:val="left" w:pos="1134"/>
        </w:tabs>
        <w:spacing w:line="360" w:lineRule="auto"/>
        <w:jc w:val="both"/>
        <w:rPr>
          <w:rFonts w:cs="Arial"/>
          <w:b/>
          <w:sz w:val="24"/>
          <w:szCs w:val="24"/>
        </w:rPr>
      </w:pPr>
      <w:r>
        <w:rPr>
          <w:rFonts w:cs="Arial"/>
          <w:b/>
          <w:sz w:val="24"/>
          <w:szCs w:val="24"/>
        </w:rPr>
        <w:t>15. CONDIÇÕES DE CONTRATAÇÃO</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B963EC" w:rsidRDefault="00B963EC" w:rsidP="00B963EC">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963EC" w:rsidRDefault="00B963EC" w:rsidP="00B963EC">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w:t>
      </w:r>
      <w:r>
        <w:rPr>
          <w:rFonts w:ascii="Arial" w:hAnsi="Arial" w:cs="Arial"/>
        </w:rPr>
        <w:lastRenderedPageBreak/>
        <w:t>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B963EC" w:rsidRDefault="00B963EC" w:rsidP="00B963EC">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B963EC" w:rsidRDefault="00B963EC" w:rsidP="00B963EC">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B963EC" w:rsidRDefault="00B963EC" w:rsidP="00B963EC">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B963EC" w:rsidRDefault="00B963EC" w:rsidP="00B963EC">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B963EC" w:rsidRDefault="00B963EC" w:rsidP="00B963EC">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963EC" w:rsidRDefault="00B963EC" w:rsidP="00B963EC">
      <w:pPr>
        <w:pStyle w:val="NormalWeb"/>
        <w:spacing w:before="0" w:beforeAutospacing="0" w:after="0" w:afterAutospacing="0" w:line="360" w:lineRule="auto"/>
        <w:jc w:val="both"/>
        <w:rPr>
          <w:rFonts w:ascii="Arial" w:hAnsi="Arial" w:cs="Arial"/>
        </w:rPr>
      </w:pPr>
    </w:p>
    <w:p w:rsidR="00B963EC" w:rsidRDefault="00B963EC" w:rsidP="00B963EC">
      <w:pPr>
        <w:tabs>
          <w:tab w:val="left" w:pos="1134"/>
        </w:tabs>
        <w:spacing w:line="360" w:lineRule="auto"/>
        <w:jc w:val="both"/>
        <w:rPr>
          <w:rFonts w:cs="Arial"/>
          <w:b/>
          <w:sz w:val="24"/>
          <w:szCs w:val="24"/>
        </w:rPr>
      </w:pPr>
      <w:r>
        <w:rPr>
          <w:rFonts w:cs="Arial"/>
          <w:b/>
          <w:sz w:val="24"/>
          <w:szCs w:val="24"/>
        </w:rPr>
        <w:t>16. VIGÊNCIA DA ATA DE REGISTRO DE PREÇOS E/OU CONTRATO</w:t>
      </w:r>
    </w:p>
    <w:p w:rsidR="00B963EC" w:rsidRDefault="00B963EC" w:rsidP="00B963EC">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B963EC" w:rsidRDefault="00B963EC" w:rsidP="00B963EC">
      <w:pPr>
        <w:spacing w:line="360" w:lineRule="auto"/>
        <w:jc w:val="both"/>
        <w:rPr>
          <w:rFonts w:cs="Arial"/>
          <w:sz w:val="24"/>
          <w:szCs w:val="24"/>
        </w:rPr>
      </w:pPr>
      <w:r>
        <w:rPr>
          <w:rFonts w:cs="Arial"/>
          <w:b/>
          <w:bCs/>
          <w:sz w:val="24"/>
          <w:szCs w:val="24"/>
        </w:rPr>
        <w:lastRenderedPageBreak/>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B963EC" w:rsidRDefault="00B963EC" w:rsidP="00B963EC">
      <w:pPr>
        <w:spacing w:line="360" w:lineRule="auto"/>
        <w:rPr>
          <w:rFonts w:cs="Arial"/>
          <w:b/>
          <w:sz w:val="24"/>
          <w:szCs w:val="24"/>
        </w:rPr>
      </w:pPr>
    </w:p>
    <w:p w:rsidR="00B963EC" w:rsidRDefault="00B963EC" w:rsidP="00B963EC">
      <w:pPr>
        <w:spacing w:line="360" w:lineRule="auto"/>
        <w:jc w:val="both"/>
        <w:rPr>
          <w:rFonts w:cs="Arial"/>
          <w:b/>
          <w:bCs/>
          <w:sz w:val="24"/>
          <w:szCs w:val="24"/>
        </w:rPr>
      </w:pPr>
      <w:r>
        <w:rPr>
          <w:rFonts w:cs="Arial"/>
          <w:b/>
          <w:bCs/>
          <w:sz w:val="24"/>
          <w:szCs w:val="24"/>
        </w:rPr>
        <w:t>17. DAS HIPÓTESES DE CANCELAMENTO DA ATA:</w:t>
      </w:r>
    </w:p>
    <w:p w:rsidR="00B963EC" w:rsidRDefault="00B963EC" w:rsidP="00B963EC">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B963EC" w:rsidRDefault="00B963EC" w:rsidP="00B963EC">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963EC" w:rsidRDefault="00B963EC" w:rsidP="00B963EC">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963EC" w:rsidRDefault="00B963EC" w:rsidP="00B963EC">
      <w:pPr>
        <w:spacing w:line="360" w:lineRule="auto"/>
        <w:jc w:val="both"/>
        <w:rPr>
          <w:rFonts w:cs="Arial"/>
          <w:sz w:val="24"/>
          <w:szCs w:val="24"/>
        </w:rPr>
      </w:pPr>
    </w:p>
    <w:p w:rsidR="00B963EC" w:rsidRDefault="00B963EC" w:rsidP="00B963EC">
      <w:pPr>
        <w:spacing w:line="360" w:lineRule="auto"/>
        <w:jc w:val="both"/>
        <w:rPr>
          <w:rFonts w:cs="Arial"/>
          <w:b/>
          <w:bCs/>
          <w:sz w:val="24"/>
          <w:szCs w:val="24"/>
        </w:rPr>
      </w:pPr>
      <w:r>
        <w:rPr>
          <w:rFonts w:cs="Arial"/>
          <w:b/>
          <w:bCs/>
          <w:sz w:val="24"/>
          <w:szCs w:val="24"/>
        </w:rPr>
        <w:t>18. DAS CONDIÇÕES PARA ALTERAÇÃO DOS PREÇOS REGISTRADOS:</w:t>
      </w:r>
    </w:p>
    <w:p w:rsidR="00B963EC" w:rsidRDefault="00B963EC" w:rsidP="00B963EC">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B963EC" w:rsidRDefault="00B963EC" w:rsidP="00B963EC">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963EC" w:rsidRDefault="00B963EC" w:rsidP="00B963EC">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B963EC" w:rsidRDefault="00B963EC" w:rsidP="00B963EC">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w:t>
      </w:r>
      <w:r>
        <w:rPr>
          <w:rFonts w:cs="Arial"/>
          <w:color w:val="000000"/>
          <w:sz w:val="24"/>
          <w:szCs w:val="24"/>
        </w:rPr>
        <w:lastRenderedPageBreak/>
        <w:t xml:space="preserve">momento em que deverá ser demonstrada a vantagem da Administração, em que conceder os novos valores à contratada. </w:t>
      </w:r>
    </w:p>
    <w:p w:rsidR="00B963EC" w:rsidRDefault="00B963EC" w:rsidP="00B963EC">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963EC" w:rsidRDefault="00B963EC" w:rsidP="00B963EC">
      <w:pPr>
        <w:spacing w:line="360" w:lineRule="auto"/>
        <w:jc w:val="both"/>
        <w:rPr>
          <w:rFonts w:cs="Arial"/>
          <w:sz w:val="24"/>
          <w:szCs w:val="24"/>
        </w:rPr>
      </w:pPr>
    </w:p>
    <w:p w:rsidR="00B963EC" w:rsidRDefault="00B963EC" w:rsidP="00B963EC">
      <w:pPr>
        <w:spacing w:line="360" w:lineRule="auto"/>
        <w:jc w:val="both"/>
        <w:rPr>
          <w:rFonts w:cs="Arial"/>
          <w:b/>
          <w:bCs/>
          <w:sz w:val="24"/>
          <w:szCs w:val="24"/>
        </w:rPr>
      </w:pPr>
      <w:r>
        <w:rPr>
          <w:rFonts w:cs="Arial"/>
          <w:b/>
          <w:bCs/>
          <w:sz w:val="24"/>
          <w:szCs w:val="24"/>
        </w:rPr>
        <w:t>19. FORMALIZAÇÃO DO CADASTRO RESERVA:</w:t>
      </w:r>
    </w:p>
    <w:p w:rsidR="00B963EC" w:rsidRDefault="00B963EC" w:rsidP="00B963EC">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B963EC" w:rsidRDefault="00B963EC" w:rsidP="00B963EC">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963EC" w:rsidRDefault="00B963EC" w:rsidP="00B963EC">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B963EC" w:rsidRDefault="00B963EC" w:rsidP="00B963EC">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B963EC" w:rsidRDefault="00B963EC" w:rsidP="00B963EC">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B963EC" w:rsidRDefault="00B963EC" w:rsidP="00B963EC">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B963EC" w:rsidRDefault="00B963EC" w:rsidP="00B963EC">
      <w:pPr>
        <w:spacing w:before="100" w:beforeAutospacing="1" w:line="360" w:lineRule="auto"/>
        <w:jc w:val="both"/>
        <w:rPr>
          <w:rFonts w:cs="Arial"/>
          <w:color w:val="000000"/>
          <w:sz w:val="16"/>
          <w:szCs w:val="16"/>
          <w:lang w:eastAsia="pt-BR"/>
        </w:rPr>
      </w:pPr>
    </w:p>
    <w:p w:rsidR="00B963EC" w:rsidRDefault="00B963EC" w:rsidP="00B963EC">
      <w:pPr>
        <w:spacing w:line="360" w:lineRule="auto"/>
        <w:jc w:val="both"/>
        <w:rPr>
          <w:rFonts w:cs="Arial"/>
          <w:b/>
          <w:bCs/>
          <w:sz w:val="24"/>
          <w:szCs w:val="24"/>
        </w:rPr>
      </w:pPr>
      <w:r>
        <w:rPr>
          <w:rFonts w:cs="Arial"/>
          <w:b/>
          <w:bCs/>
          <w:sz w:val="24"/>
          <w:szCs w:val="24"/>
        </w:rPr>
        <w:t>20. DA CARONA:</w:t>
      </w:r>
    </w:p>
    <w:p w:rsidR="00B963EC" w:rsidRDefault="00B963EC" w:rsidP="00B963EC">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B963EC" w:rsidRDefault="00B963EC" w:rsidP="00B963EC">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B963EC" w:rsidRDefault="00B963EC" w:rsidP="00B963EC">
      <w:pPr>
        <w:pStyle w:val="NormalWeb"/>
        <w:spacing w:before="0" w:beforeAutospacing="0" w:after="0" w:afterAutospacing="0" w:line="360" w:lineRule="auto"/>
        <w:jc w:val="both"/>
      </w:pPr>
      <w:bookmarkStart w:id="54" w:name="art86§2ii"/>
      <w:bookmarkEnd w:id="54"/>
      <w:r>
        <w:rPr>
          <w:rFonts w:ascii="Arial" w:hAnsi="Arial" w:cs="Arial"/>
          <w:b/>
          <w:bCs/>
          <w:color w:val="000000"/>
        </w:rPr>
        <w:lastRenderedPageBreak/>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8" w:anchor="art23" w:history="1">
        <w:r>
          <w:rPr>
            <w:rStyle w:val="Hyperlink"/>
            <w:rFonts w:ascii="Arial" w:eastAsiaTheme="majorEastAsia" w:hAnsi="Arial" w:cs="Arial"/>
          </w:rPr>
          <w:t>art. 23 da Lei</w:t>
        </w:r>
      </w:hyperlink>
      <w:r>
        <w:rPr>
          <w:rFonts w:ascii="Arial" w:hAnsi="Arial" w:cs="Arial"/>
        </w:rPr>
        <w:t xml:space="preserve"> Federal n.º 14.133/2021;</w:t>
      </w:r>
    </w:p>
    <w:p w:rsidR="00B963EC" w:rsidRDefault="00B963EC" w:rsidP="00B963EC">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B963EC" w:rsidRDefault="00B963EC" w:rsidP="00B963EC">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B963EC" w:rsidRDefault="00B963EC" w:rsidP="00B963EC">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963EC" w:rsidRDefault="00B963EC" w:rsidP="00B963EC">
      <w:pPr>
        <w:pStyle w:val="NormalWeb"/>
        <w:spacing w:before="0" w:beforeAutospacing="0" w:after="0" w:afterAutospacing="0" w:line="360" w:lineRule="auto"/>
        <w:jc w:val="both"/>
        <w:rPr>
          <w:rFonts w:ascii="Arial" w:hAnsi="Arial" w:cs="Arial"/>
          <w:color w:val="000000"/>
        </w:rPr>
      </w:pPr>
    </w:p>
    <w:p w:rsidR="00B963EC" w:rsidRDefault="00B963EC" w:rsidP="00B963EC">
      <w:pPr>
        <w:tabs>
          <w:tab w:val="left" w:pos="1134"/>
        </w:tabs>
        <w:spacing w:line="360" w:lineRule="auto"/>
        <w:jc w:val="both"/>
        <w:rPr>
          <w:rFonts w:cs="Arial"/>
          <w:b/>
          <w:sz w:val="24"/>
          <w:szCs w:val="24"/>
        </w:rPr>
      </w:pPr>
      <w:r>
        <w:rPr>
          <w:rFonts w:cs="Arial"/>
          <w:b/>
          <w:sz w:val="24"/>
          <w:szCs w:val="24"/>
        </w:rPr>
        <w:t>21. DO RECEBIMENTO DO OBJETO:</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w:t>
      </w:r>
      <w:r w:rsidR="003616C4">
        <w:rPr>
          <w:rFonts w:cs="Arial"/>
          <w:sz w:val="24"/>
          <w:szCs w:val="24"/>
        </w:rPr>
        <w:t>Equipamentos</w:t>
      </w:r>
      <w:r>
        <w:rPr>
          <w:rFonts w:cs="Arial"/>
          <w:sz w:val="24"/>
          <w:szCs w:val="24"/>
        </w:rPr>
        <w:t xml:space="preserve"> é de 15 (quinze) dias corridos, a contar da emissão da ordem de fornecimento.</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w:t>
      </w:r>
      <w:r w:rsidR="003616C4">
        <w:rPr>
          <w:rFonts w:cs="Arial"/>
          <w:sz w:val="24"/>
          <w:szCs w:val="24"/>
        </w:rPr>
        <w:t>Equipamentos</w:t>
      </w:r>
      <w:r>
        <w:rPr>
          <w:rFonts w:cs="Arial"/>
          <w:sz w:val="24"/>
          <w:szCs w:val="24"/>
        </w:rPr>
        <w:t>, deverão ser entregues no Centro Administrativo, sito a Avenida Prefeito José Nunes de Abreu, nº 6.000, centro, Santo Antônio das Missões-RS, sito, no horário das 08:00 ás 14:00 horas.</w:t>
      </w:r>
    </w:p>
    <w:p w:rsidR="00B963EC" w:rsidRDefault="00B963EC" w:rsidP="00B963EC">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saúde aplicáveis aos medicamentos fornecidos, com validade mínima de 12 meses.</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B963EC" w:rsidRDefault="00B963EC" w:rsidP="00B963EC">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B963EC" w:rsidRDefault="00B963EC" w:rsidP="00B963EC">
      <w:pPr>
        <w:spacing w:line="360" w:lineRule="auto"/>
        <w:rPr>
          <w:rFonts w:cs="Arial"/>
          <w:b/>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22. PRAZOS E CONDIÇÕES DE PAGAMENTO:</w:t>
      </w:r>
    </w:p>
    <w:p w:rsidR="00B963EC" w:rsidRDefault="00B963EC" w:rsidP="00B963EC">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w:t>
      </w:r>
      <w:r w:rsidR="003616C4">
        <w:rPr>
          <w:rFonts w:cs="Arial"/>
          <w:sz w:val="24"/>
          <w:szCs w:val="24"/>
        </w:rPr>
        <w:t>s Equipamentos</w:t>
      </w:r>
      <w:r>
        <w:rPr>
          <w:rFonts w:cs="Arial"/>
          <w:sz w:val="24"/>
          <w:szCs w:val="24"/>
        </w:rPr>
        <w:t xml:space="preserve">, e mediante apresentação da Nota Fiscal/Fatura. </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dias úteis da entrega total dos Materiais e Medicamentos.</w:t>
      </w:r>
    </w:p>
    <w:p w:rsidR="00B963EC" w:rsidRDefault="00B963EC" w:rsidP="00B963EC">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B963EC" w:rsidRDefault="00B963EC" w:rsidP="00B963EC">
      <w:pPr>
        <w:tabs>
          <w:tab w:val="left" w:pos="1134"/>
        </w:tabs>
        <w:spacing w:line="360" w:lineRule="auto"/>
        <w:jc w:val="both"/>
        <w:rPr>
          <w:rFonts w:cs="Arial"/>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23. SANÇÕES ADMINISTRATIVAS</w:t>
      </w:r>
    </w:p>
    <w:p w:rsidR="00B963EC" w:rsidRDefault="00B963EC" w:rsidP="00B963EC">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B963EC" w:rsidRDefault="00B963EC" w:rsidP="00B963EC">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B963EC" w:rsidRDefault="00B963EC" w:rsidP="00B963EC">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B963EC" w:rsidRDefault="00B963EC" w:rsidP="00B963EC">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B963EC" w:rsidRDefault="00B963EC" w:rsidP="00B963EC">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B963EC" w:rsidRDefault="00B963EC" w:rsidP="00B963EC">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B963EC" w:rsidRDefault="00B963EC" w:rsidP="00B963EC">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lastRenderedPageBreak/>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B963EC" w:rsidRDefault="00B963EC" w:rsidP="00B963EC">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B963EC" w:rsidRDefault="00B963EC" w:rsidP="00B963EC">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B963EC" w:rsidRDefault="00B963EC" w:rsidP="00B963EC">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B963EC" w:rsidRDefault="00B963EC" w:rsidP="00B963EC">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B963EC" w:rsidRDefault="00B963EC" w:rsidP="00B963EC">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B963EC" w:rsidRDefault="00B963EC" w:rsidP="00B963EC">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9" w:anchor="art5" w:history="1">
        <w:r>
          <w:rPr>
            <w:rStyle w:val="Hyperlink"/>
            <w:rFonts w:ascii="Arial" w:eastAsiaTheme="majorEastAsia" w:hAnsi="Arial" w:cs="Arial"/>
          </w:rPr>
          <w:t>art. 5º da Lei nº 12.846, de 1º de agosto de 2013.</w:t>
        </w:r>
      </w:hyperlink>
    </w:p>
    <w:p w:rsidR="00B963EC" w:rsidRDefault="00B963EC" w:rsidP="00B963EC">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6"/>
      </w:r>
      <w:r>
        <w:rPr>
          <w:rFonts w:ascii="Arial" w:hAnsi="Arial" w:cs="Arial"/>
        </w:rPr>
        <w:t>:</w:t>
      </w:r>
    </w:p>
    <w:p w:rsidR="00B963EC" w:rsidRDefault="00B963EC" w:rsidP="00B963EC">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B963EC" w:rsidRDefault="00B963EC" w:rsidP="00B963EC">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B963EC" w:rsidRDefault="00B963EC" w:rsidP="00B963EC">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B963EC" w:rsidRDefault="00B963EC" w:rsidP="00B963EC">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B963EC" w:rsidRDefault="00B963EC" w:rsidP="00B963EC">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lastRenderedPageBreak/>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B963EC" w:rsidRDefault="00B963EC" w:rsidP="00B963EC">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963EC" w:rsidRDefault="00B963EC" w:rsidP="00B963EC">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B963EC" w:rsidRDefault="00B963EC" w:rsidP="00B963EC">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B963EC" w:rsidRDefault="00B963EC" w:rsidP="00B963EC">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B963EC" w:rsidRDefault="00B963EC" w:rsidP="00B963EC">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963EC" w:rsidRDefault="00B963EC" w:rsidP="00B963EC">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B963EC" w:rsidRDefault="00B963EC" w:rsidP="00B963EC">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lastRenderedPageBreak/>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963EC" w:rsidRDefault="00B963EC" w:rsidP="00B963EC">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B963EC" w:rsidRDefault="00B963EC" w:rsidP="00B963EC">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B963EC" w:rsidRDefault="00B963EC" w:rsidP="00B963EC">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B963EC" w:rsidRDefault="00B963EC" w:rsidP="00B963EC">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963EC" w:rsidRDefault="00B963EC" w:rsidP="00B963EC">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B963EC" w:rsidRDefault="00B963EC" w:rsidP="00B963EC">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B963EC" w:rsidRDefault="00B963EC" w:rsidP="00B963EC">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B963EC" w:rsidRDefault="00B963EC" w:rsidP="00B963EC">
      <w:pPr>
        <w:tabs>
          <w:tab w:val="left" w:pos="1134"/>
        </w:tabs>
        <w:spacing w:line="360" w:lineRule="auto"/>
        <w:jc w:val="both"/>
        <w:rPr>
          <w:rFonts w:cs="Arial"/>
          <w:b/>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24. PEDIDOS DE ESCLARECIMENTOS E IMPUGNAÇÕES</w:t>
      </w:r>
    </w:p>
    <w:p w:rsidR="00B963EC" w:rsidRDefault="00B963EC" w:rsidP="00B963EC">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B963EC" w:rsidRDefault="00B963EC" w:rsidP="00B963EC">
      <w:pPr>
        <w:spacing w:line="360" w:lineRule="auto"/>
        <w:jc w:val="both"/>
        <w:rPr>
          <w:rFonts w:cs="Arial"/>
          <w:sz w:val="24"/>
          <w:szCs w:val="24"/>
        </w:rPr>
      </w:pPr>
      <w:r>
        <w:rPr>
          <w:rFonts w:cs="Arial"/>
          <w:b/>
          <w:bCs/>
          <w:sz w:val="24"/>
          <w:szCs w:val="24"/>
        </w:rPr>
        <w:lastRenderedPageBreak/>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B963EC" w:rsidRDefault="00B963EC" w:rsidP="00B963EC">
      <w:pPr>
        <w:spacing w:line="360" w:lineRule="auto"/>
        <w:jc w:val="both"/>
        <w:rPr>
          <w:rFonts w:cs="Arial"/>
          <w:sz w:val="24"/>
          <w:szCs w:val="24"/>
        </w:rPr>
      </w:pPr>
    </w:p>
    <w:p w:rsidR="00B963EC" w:rsidRDefault="00B963EC" w:rsidP="00B963EC">
      <w:pPr>
        <w:tabs>
          <w:tab w:val="left" w:pos="1134"/>
        </w:tabs>
        <w:spacing w:line="360" w:lineRule="auto"/>
        <w:jc w:val="both"/>
        <w:rPr>
          <w:rFonts w:cs="Arial"/>
          <w:b/>
          <w:sz w:val="24"/>
          <w:szCs w:val="24"/>
        </w:rPr>
      </w:pPr>
      <w:r>
        <w:rPr>
          <w:rFonts w:cs="Arial"/>
          <w:b/>
          <w:sz w:val="24"/>
          <w:szCs w:val="24"/>
        </w:rPr>
        <w:t>25. DAS DISPOSIÇÕES GERAIS:</w:t>
      </w:r>
    </w:p>
    <w:p w:rsidR="00B963EC" w:rsidRDefault="00B963EC" w:rsidP="00B963EC">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B963EC" w:rsidRDefault="00B963EC" w:rsidP="00B963EC">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B963EC" w:rsidRDefault="00B963EC" w:rsidP="00B963EC">
      <w:pPr>
        <w:pStyle w:val="Nivel2"/>
        <w:spacing w:before="0" w:after="0" w:line="360" w:lineRule="auto"/>
        <w:ind w:left="0" w:firstLine="0"/>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963EC" w:rsidRDefault="00B963EC" w:rsidP="00B963EC">
      <w:pPr>
        <w:pStyle w:val="Nivel2"/>
        <w:spacing w:before="0" w:after="0" w:line="360" w:lineRule="auto"/>
        <w:ind w:left="0" w:firstLine="0"/>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963EC" w:rsidRDefault="00B963EC" w:rsidP="00B963EC">
      <w:pPr>
        <w:pStyle w:val="Nivel2"/>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B963EC" w:rsidRDefault="00B963EC" w:rsidP="00B963EC">
      <w:pPr>
        <w:pStyle w:val="Nivel2"/>
        <w:spacing w:before="0" w:after="0" w:line="360" w:lineRule="auto"/>
        <w:ind w:left="0" w:firstLine="0"/>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B963EC" w:rsidRDefault="00B963EC" w:rsidP="00B963EC">
      <w:pPr>
        <w:pStyle w:val="Nivel2"/>
        <w:spacing w:before="0" w:after="0" w:line="360" w:lineRule="auto"/>
        <w:ind w:left="0" w:firstLine="0"/>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B963EC" w:rsidRDefault="00B963EC" w:rsidP="00B963EC">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B963EC" w:rsidRDefault="00B963EC" w:rsidP="00B963EC">
      <w:pPr>
        <w:pStyle w:val="Nivel2"/>
        <w:spacing w:before="0" w:after="0" w:line="360" w:lineRule="auto"/>
        <w:ind w:left="0" w:firstLine="0"/>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B963EC" w:rsidRDefault="00B963EC" w:rsidP="00B963EC">
      <w:pPr>
        <w:pStyle w:val="Nivel2"/>
        <w:spacing w:before="0" w:after="0" w:line="360" w:lineRule="auto"/>
        <w:ind w:left="0" w:firstLine="0"/>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B963EC" w:rsidRDefault="00B963EC" w:rsidP="00B963EC">
      <w:pPr>
        <w:pStyle w:val="Nivel2"/>
        <w:spacing w:before="0" w:after="0" w:line="360" w:lineRule="auto"/>
        <w:ind w:left="0" w:firstLine="0"/>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B963EC" w:rsidRDefault="00B963EC" w:rsidP="00B963EC">
      <w:pPr>
        <w:pStyle w:val="Nivel2"/>
        <w:spacing w:before="0" w:after="0" w:line="360" w:lineRule="auto"/>
        <w:ind w:left="0" w:firstLine="0"/>
        <w:rPr>
          <w:sz w:val="24"/>
          <w:szCs w:val="24"/>
        </w:rPr>
      </w:pPr>
    </w:p>
    <w:p w:rsidR="00B963EC" w:rsidRDefault="003616C4" w:rsidP="00B963EC">
      <w:pPr>
        <w:tabs>
          <w:tab w:val="left" w:pos="1134"/>
        </w:tabs>
        <w:spacing w:line="360" w:lineRule="auto"/>
        <w:jc w:val="center"/>
        <w:rPr>
          <w:rFonts w:cs="Arial"/>
          <w:b/>
          <w:bCs/>
          <w:sz w:val="24"/>
          <w:szCs w:val="24"/>
        </w:rPr>
      </w:pPr>
      <w:r>
        <w:rPr>
          <w:rFonts w:cs="Arial"/>
          <w:b/>
          <w:bCs/>
          <w:sz w:val="24"/>
          <w:szCs w:val="24"/>
        </w:rPr>
        <w:t>Santo Antônio das Missões-RS, 18</w:t>
      </w:r>
      <w:r w:rsidR="00B963EC">
        <w:rPr>
          <w:rFonts w:cs="Arial"/>
          <w:b/>
          <w:bCs/>
          <w:sz w:val="24"/>
          <w:szCs w:val="24"/>
        </w:rPr>
        <w:t xml:space="preserve"> de junho de 2025.</w:t>
      </w:r>
    </w:p>
    <w:p w:rsidR="00B963EC" w:rsidRDefault="00B963EC" w:rsidP="00B963EC">
      <w:pPr>
        <w:tabs>
          <w:tab w:val="left" w:pos="1134"/>
        </w:tabs>
        <w:spacing w:line="360" w:lineRule="auto"/>
        <w:jc w:val="both"/>
        <w:rPr>
          <w:rFonts w:cs="Arial"/>
          <w:b/>
          <w:bCs/>
          <w:sz w:val="24"/>
          <w:szCs w:val="24"/>
        </w:rPr>
      </w:pPr>
    </w:p>
    <w:p w:rsidR="00B963EC" w:rsidRDefault="00B963EC" w:rsidP="00B963EC">
      <w:pPr>
        <w:pStyle w:val="Corpodetexto"/>
        <w:jc w:val="center"/>
        <w:rPr>
          <w:sz w:val="24"/>
          <w:szCs w:val="24"/>
        </w:rPr>
      </w:pPr>
      <w:r>
        <w:rPr>
          <w:sz w:val="24"/>
          <w:szCs w:val="24"/>
        </w:rPr>
        <w:t>_________________________________________</w:t>
      </w:r>
    </w:p>
    <w:p w:rsidR="00B963EC" w:rsidRDefault="00B963EC" w:rsidP="00B963EC">
      <w:pPr>
        <w:pStyle w:val="Corpodetexto"/>
        <w:jc w:val="center"/>
        <w:rPr>
          <w:sz w:val="24"/>
          <w:szCs w:val="24"/>
        </w:rPr>
      </w:pPr>
      <w:r>
        <w:rPr>
          <w:sz w:val="24"/>
          <w:szCs w:val="24"/>
        </w:rPr>
        <w:t>FELISBERTO DOS SANTOS FERREIRA.</w:t>
      </w:r>
    </w:p>
    <w:p w:rsidR="00B963EC" w:rsidRDefault="00B963EC" w:rsidP="00B963EC">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963EC" w:rsidRDefault="00B963EC" w:rsidP="00B963E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963EC" w:rsidRDefault="00B963EC" w:rsidP="00B963E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963EC" w:rsidRDefault="00B963EC" w:rsidP="00B963EC">
                            <w:pPr>
                              <w:pStyle w:val="Corpodetexto"/>
                              <w:rPr>
                                <w:sz w:val="24"/>
                              </w:rPr>
                            </w:pPr>
                          </w:p>
                          <w:p w:rsidR="00B963EC" w:rsidRDefault="00B963EC" w:rsidP="00B963EC">
                            <w:pPr>
                              <w:pStyle w:val="Corpodetexto"/>
                              <w:rPr>
                                <w:sz w:val="24"/>
                              </w:rPr>
                            </w:pPr>
                          </w:p>
                          <w:p w:rsidR="00B963EC" w:rsidRDefault="00B963EC" w:rsidP="00B963EC">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963EC" w:rsidRDefault="00B963EC" w:rsidP="00B963E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963EC" w:rsidRDefault="00B963EC" w:rsidP="00B963E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963EC" w:rsidRDefault="00B963EC" w:rsidP="00B963EC">
                      <w:pPr>
                        <w:pStyle w:val="Corpodetexto"/>
                        <w:rPr>
                          <w:sz w:val="24"/>
                        </w:rPr>
                      </w:pPr>
                    </w:p>
                    <w:p w:rsidR="00B963EC" w:rsidRDefault="00B963EC" w:rsidP="00B963EC">
                      <w:pPr>
                        <w:pStyle w:val="Corpodetexto"/>
                        <w:rPr>
                          <w:sz w:val="24"/>
                        </w:rPr>
                      </w:pPr>
                    </w:p>
                    <w:p w:rsidR="00B963EC" w:rsidRDefault="00B963EC" w:rsidP="00B963E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F905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B963EC" w:rsidRDefault="00B963EC" w:rsidP="00B963EC"/>
    <w:p w:rsidR="00B963EC" w:rsidRDefault="00B963EC" w:rsidP="00B963EC"/>
    <w:p w:rsidR="00B963EC" w:rsidRDefault="00B963EC" w:rsidP="00B963EC"/>
    <w:p w:rsidR="00B963EC" w:rsidRDefault="00B963EC" w:rsidP="00B963EC"/>
    <w:p w:rsidR="00B963EC" w:rsidRDefault="00B963EC" w:rsidP="00B963EC">
      <w:pPr>
        <w:pStyle w:val="Corpodetexto"/>
        <w:rPr>
          <w:sz w:val="20"/>
        </w:rPr>
      </w:pPr>
      <w:r>
        <w:rPr>
          <w:sz w:val="20"/>
        </w:rPr>
        <w:t>ANEXO II</w:t>
      </w:r>
    </w:p>
    <w:p w:rsidR="00B963EC" w:rsidRDefault="00B963EC" w:rsidP="00B963EC">
      <w:pPr>
        <w:pStyle w:val="Corpodetexto"/>
        <w:rPr>
          <w:sz w:val="20"/>
        </w:rPr>
      </w:pPr>
    </w:p>
    <w:p w:rsidR="00B963EC" w:rsidRDefault="003616C4" w:rsidP="00B963EC">
      <w:pPr>
        <w:pStyle w:val="Corpodetexto"/>
        <w:rPr>
          <w:b/>
          <w:sz w:val="20"/>
          <w:u w:val="single"/>
        </w:rPr>
      </w:pPr>
      <w:r>
        <w:rPr>
          <w:b/>
          <w:sz w:val="20"/>
          <w:u w:val="single"/>
        </w:rPr>
        <w:t>PROCESSO DE LICITAÇÃO Nº 082</w:t>
      </w:r>
      <w:r w:rsidR="00B963EC">
        <w:rPr>
          <w:b/>
          <w:sz w:val="20"/>
          <w:u w:val="single"/>
        </w:rPr>
        <w:t>-2025 – PREGÃO ELETRÔNICO</w:t>
      </w:r>
    </w:p>
    <w:p w:rsidR="00B963EC" w:rsidRDefault="00B963EC" w:rsidP="00B963EC">
      <w:pPr>
        <w:pStyle w:val="Corpodetexto"/>
        <w:rPr>
          <w:sz w:val="20"/>
        </w:rPr>
      </w:pPr>
    </w:p>
    <w:p w:rsidR="00B963EC" w:rsidRDefault="00B963EC" w:rsidP="00B963EC">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B963EC" w:rsidRDefault="00B963EC" w:rsidP="00B963EC">
      <w:pPr>
        <w:pStyle w:val="Corpodetexto"/>
        <w:rPr>
          <w:sz w:val="20"/>
        </w:rPr>
      </w:pPr>
    </w:p>
    <w:p w:rsidR="00B963EC" w:rsidRDefault="00B963EC" w:rsidP="00B963EC">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B963EC" w:rsidRDefault="00B963EC" w:rsidP="00B963EC">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B963EC" w:rsidRDefault="00B963EC" w:rsidP="00B963EC">
      <w:pPr>
        <w:pStyle w:val="Corpodetexto"/>
        <w:rPr>
          <w:sz w:val="20"/>
        </w:rPr>
      </w:pPr>
    </w:p>
    <w:p w:rsidR="00B963EC" w:rsidRDefault="00B963EC" w:rsidP="00B963EC">
      <w:pPr>
        <w:pStyle w:val="Corpodetexto"/>
        <w:jc w:val="both"/>
        <w:rPr>
          <w:rFonts w:cs="Arial"/>
          <w:b/>
          <w:sz w:val="24"/>
          <w:szCs w:val="24"/>
          <w:u w:val="single"/>
        </w:rPr>
      </w:pPr>
      <w:r>
        <w:rPr>
          <w:rFonts w:cs="Arial"/>
          <w:sz w:val="24"/>
          <w:szCs w:val="24"/>
        </w:rPr>
        <w:t>- Registro de preços para futuras aquisições de MEDICAMENTOS.</w:t>
      </w:r>
    </w:p>
    <w:p w:rsidR="00B963EC" w:rsidRDefault="00B963EC" w:rsidP="00B963EC">
      <w:pPr>
        <w:pStyle w:val="Corpodetexto"/>
        <w:jc w:val="both"/>
        <w:rPr>
          <w:rFonts w:cs="Arial"/>
          <w:b/>
          <w:sz w:val="24"/>
          <w:szCs w:val="24"/>
          <w:u w:val="single"/>
        </w:rPr>
      </w:pPr>
      <w:r>
        <w:rPr>
          <w:rFonts w:cs="Arial"/>
          <w:b/>
          <w:sz w:val="24"/>
          <w:szCs w:val="24"/>
          <w:u w:val="single"/>
        </w:rPr>
        <w:t xml:space="preserve">Itens: </w:t>
      </w:r>
    </w:p>
    <w:p w:rsidR="00B963EC" w:rsidRDefault="00B963EC" w:rsidP="00B963EC">
      <w:pPr>
        <w:pStyle w:val="Corpodetexto"/>
        <w:jc w:val="both"/>
        <w:rPr>
          <w:rFonts w:cs="Arial"/>
          <w:b/>
          <w:sz w:val="24"/>
          <w:szCs w:val="24"/>
          <w:u w:val="single"/>
        </w:rPr>
      </w:pPr>
    </w:p>
    <w:tbl>
      <w:tblPr>
        <w:tblW w:w="8494" w:type="dxa"/>
        <w:tblLook w:val="04A0" w:firstRow="1" w:lastRow="0" w:firstColumn="1" w:lastColumn="0" w:noHBand="0" w:noVBand="1"/>
      </w:tblPr>
      <w:tblGrid>
        <w:gridCol w:w="977"/>
        <w:gridCol w:w="1265"/>
        <w:gridCol w:w="2927"/>
        <w:gridCol w:w="1668"/>
        <w:gridCol w:w="1657"/>
      </w:tblGrid>
      <w:tr w:rsidR="00B963EC" w:rsidTr="00B963EC">
        <w:tc>
          <w:tcPr>
            <w:tcW w:w="977" w:type="dxa"/>
            <w:tcBorders>
              <w:top w:val="single" w:sz="4" w:space="0" w:color="auto"/>
              <w:left w:val="single" w:sz="4" w:space="0" w:color="auto"/>
              <w:bottom w:val="single" w:sz="4" w:space="0" w:color="auto"/>
              <w:right w:val="single" w:sz="4" w:space="0" w:color="auto"/>
            </w:tcBorders>
            <w:hideMark/>
          </w:tcPr>
          <w:p w:rsidR="00B963EC" w:rsidRDefault="00B963EC">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B963EC" w:rsidRDefault="00B963EC">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B963EC" w:rsidRDefault="00B963EC">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B963EC" w:rsidRDefault="00B963EC">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B963EC" w:rsidRDefault="00B963EC">
            <w:pPr>
              <w:spacing w:line="360" w:lineRule="auto"/>
            </w:pPr>
            <w:r>
              <w:t>V. Total</w:t>
            </w:r>
          </w:p>
        </w:tc>
      </w:tr>
      <w:tr w:rsidR="00B963EC" w:rsidTr="00B963EC">
        <w:tc>
          <w:tcPr>
            <w:tcW w:w="977" w:type="dxa"/>
            <w:tcBorders>
              <w:top w:val="single" w:sz="4" w:space="0" w:color="auto"/>
              <w:left w:val="single" w:sz="4" w:space="0" w:color="auto"/>
              <w:bottom w:val="single" w:sz="4" w:space="0" w:color="auto"/>
              <w:right w:val="single" w:sz="4" w:space="0" w:color="auto"/>
            </w:tcBorders>
          </w:tcPr>
          <w:p w:rsidR="00B963EC" w:rsidRDefault="00B963EC">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B963EC" w:rsidRDefault="00B963EC">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B963EC" w:rsidRDefault="00B963EC">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B963EC" w:rsidRDefault="00B963EC">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B963EC" w:rsidRDefault="00B963EC">
            <w:pPr>
              <w:spacing w:line="360" w:lineRule="auto"/>
            </w:pPr>
          </w:p>
        </w:tc>
      </w:tr>
    </w:tbl>
    <w:p w:rsidR="00B963EC" w:rsidRDefault="00B963EC" w:rsidP="00B963EC">
      <w:pPr>
        <w:pStyle w:val="Corpodetexto"/>
        <w:rPr>
          <w:sz w:val="20"/>
        </w:rPr>
      </w:pPr>
    </w:p>
    <w:p w:rsidR="00B963EC" w:rsidRDefault="00B963EC" w:rsidP="00B963EC">
      <w:pPr>
        <w:pStyle w:val="Corpodetexto"/>
        <w:rPr>
          <w:sz w:val="20"/>
        </w:rPr>
      </w:pPr>
      <w:r>
        <w:rPr>
          <w:sz w:val="20"/>
        </w:rPr>
        <w:t>DECLARAMOS QUE CUMPRIMOS COM TODOS OS REQUISITOS DE EDITAL E TERMO DE REFERÊNCIA.</w:t>
      </w:r>
    </w:p>
    <w:p w:rsidR="00B963EC" w:rsidRDefault="00B963EC" w:rsidP="00B963EC">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B963EC" w:rsidRDefault="00B963EC" w:rsidP="00B963EC">
      <w:pPr>
        <w:pStyle w:val="Corpodetexto"/>
        <w:jc w:val="center"/>
      </w:pPr>
      <w:r>
        <w:t>_________________________________</w:t>
      </w:r>
    </w:p>
    <w:p w:rsidR="00B963EC" w:rsidRDefault="00B963EC" w:rsidP="00B963EC">
      <w:pPr>
        <w:pStyle w:val="Corpodetexto"/>
        <w:jc w:val="center"/>
      </w:pPr>
    </w:p>
    <w:p w:rsidR="00B963EC" w:rsidRDefault="00B963EC" w:rsidP="00B963EC">
      <w:pPr>
        <w:pStyle w:val="Corpodetexto"/>
        <w:rPr>
          <w:sz w:val="20"/>
        </w:rPr>
      </w:pPr>
      <w:r>
        <w:rPr>
          <w:sz w:val="20"/>
        </w:rPr>
        <w:t xml:space="preserve">                                                           Assinatura e carimbo da empresa</w:t>
      </w:r>
    </w:p>
    <w:p w:rsidR="00B963EC" w:rsidRDefault="00B963EC" w:rsidP="00B963EC">
      <w:pPr>
        <w:pStyle w:val="Corpodetexto"/>
        <w:jc w:val="center"/>
        <w:rPr>
          <w:sz w:val="20"/>
        </w:rPr>
      </w:pPr>
      <w:r>
        <w:rPr>
          <w:sz w:val="20"/>
        </w:rPr>
        <w:t>CNPJ -</w:t>
      </w:r>
    </w:p>
    <w:p w:rsidR="00B963EC" w:rsidRDefault="00B963EC" w:rsidP="00B963EC"/>
    <w:p w:rsidR="00B963EC" w:rsidRDefault="00B963EC" w:rsidP="00B963EC"/>
    <w:p w:rsidR="00B963EC" w:rsidRDefault="00B963EC" w:rsidP="00B963EC"/>
    <w:p w:rsidR="000E43A1" w:rsidRDefault="000E43A1"/>
    <w:sectPr w:rsidR="000E43A1" w:rsidSect="00B963EC">
      <w:headerReference w:type="default" r:id="rId10"/>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BC0" w:rsidRDefault="00886BC0" w:rsidP="00B963EC">
      <w:r>
        <w:separator/>
      </w:r>
    </w:p>
  </w:endnote>
  <w:endnote w:type="continuationSeparator" w:id="0">
    <w:p w:rsidR="00886BC0" w:rsidRDefault="00886BC0" w:rsidP="00B9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BC0" w:rsidRDefault="00886BC0" w:rsidP="00B963EC">
      <w:r>
        <w:separator/>
      </w:r>
    </w:p>
  </w:footnote>
  <w:footnote w:type="continuationSeparator" w:id="0">
    <w:p w:rsidR="00886BC0" w:rsidRDefault="00886BC0" w:rsidP="00B963EC">
      <w:r>
        <w:continuationSeparator/>
      </w:r>
    </w:p>
  </w:footnote>
  <w:footnote w:id="1">
    <w:p w:rsidR="00B963EC" w:rsidRDefault="00B963EC" w:rsidP="00B963EC">
      <w:pPr>
        <w:pStyle w:val="Textodenotaderodap"/>
        <w:rPr>
          <w:rFonts w:ascii="Arial" w:hAnsi="Arial" w:cs="Arial"/>
          <w:color w:val="FF0000"/>
          <w:lang w:val="en-US"/>
        </w:rPr>
      </w:pPr>
    </w:p>
  </w:footnote>
  <w:footnote w:id="2">
    <w:p w:rsidR="00B963EC" w:rsidRDefault="00B963EC" w:rsidP="00B963EC">
      <w:pPr>
        <w:pStyle w:val="Textodenotaderodap"/>
        <w:rPr>
          <w:rFonts w:ascii="Arial" w:hAnsi="Arial" w:cs="Arial"/>
        </w:rPr>
      </w:pPr>
    </w:p>
    <w:p w:rsidR="00B963EC" w:rsidRDefault="00B963EC" w:rsidP="00B963EC">
      <w:pPr>
        <w:pStyle w:val="Textodenotaderodap"/>
        <w:rPr>
          <w:sz w:val="16"/>
          <w:szCs w:val="16"/>
        </w:rPr>
      </w:pPr>
    </w:p>
  </w:footnote>
  <w:footnote w:id="3">
    <w:p w:rsidR="00B963EC" w:rsidRDefault="00B963EC" w:rsidP="00B963EC">
      <w:pPr>
        <w:pStyle w:val="Textodenotaderodap"/>
        <w:rPr>
          <w:rFonts w:ascii="Arial" w:hAnsi="Arial" w:cs="Arial"/>
          <w:lang w:val="en-US"/>
        </w:rPr>
      </w:pPr>
    </w:p>
  </w:footnote>
  <w:footnote w:id="4">
    <w:p w:rsidR="00B963EC" w:rsidRDefault="00B963EC" w:rsidP="00B963EC">
      <w:pPr>
        <w:pStyle w:val="Textodenotaderodap"/>
        <w:rPr>
          <w:rFonts w:ascii="Arial" w:hAnsi="Arial" w:cs="Arial"/>
          <w:color w:val="FF0000"/>
          <w:lang w:val="en-US"/>
        </w:rPr>
      </w:pPr>
    </w:p>
  </w:footnote>
  <w:footnote w:id="5">
    <w:p w:rsidR="00B963EC" w:rsidRDefault="00B963EC" w:rsidP="00B963EC">
      <w:pPr>
        <w:pStyle w:val="Textodenotaderodap"/>
        <w:rPr>
          <w:rFonts w:ascii="Arial" w:hAnsi="Arial" w:cs="Arial"/>
        </w:rPr>
      </w:pPr>
    </w:p>
  </w:footnote>
  <w:footnote w:id="6">
    <w:p w:rsidR="00B963EC" w:rsidRDefault="00B963EC" w:rsidP="00B963EC">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B963EC" w:rsidRDefault="00B963EC" w:rsidP="00B963EC">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D28" w:rsidRPr="00192798" w:rsidRDefault="00414D28" w:rsidP="00414D2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D4BCB0F" wp14:editId="6FB9CEEB">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4D28" w:rsidRDefault="00414D28" w:rsidP="00414D28">
                          <w:pPr>
                            <w:jc w:val="center"/>
                          </w:pPr>
                        </w:p>
                        <w:p w:rsidR="00414D28" w:rsidRDefault="00414D28" w:rsidP="00414D28">
                          <w:pPr>
                            <w:jc w:val="center"/>
                          </w:pPr>
                        </w:p>
                        <w:p w:rsidR="00414D28" w:rsidRPr="007E31E4" w:rsidRDefault="00414D28" w:rsidP="00414D2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414D28" w:rsidRPr="007E31E4" w:rsidRDefault="00414D28" w:rsidP="00414D2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414D28" w:rsidRPr="000C2407" w:rsidRDefault="00414D28" w:rsidP="00414D28">
                          <w:pPr>
                            <w:jc w:val="both"/>
                            <w:rPr>
                              <w:rFonts w:asciiTheme="minorHAnsi" w:hAnsiTheme="minorHAnsi"/>
                              <w:szCs w:val="22"/>
                            </w:rPr>
                          </w:pPr>
                          <w:r>
                            <w:rPr>
                              <w:rFonts w:asciiTheme="minorHAnsi" w:hAnsiTheme="minorHAnsi" w:cs="Arial"/>
                              <w:b/>
                              <w:szCs w:val="22"/>
                            </w:rPr>
                            <w:t>Av. José Nunes Abreu, 6.000 – CNPJ: 87.612.974/0001-04, fone: (55) 3367 2000</w:t>
                          </w:r>
                        </w:p>
                        <w:p w:rsidR="00414D28" w:rsidRDefault="00414D28" w:rsidP="00414D28">
                          <w:pPr>
                            <w:jc w:val="center"/>
                          </w:pPr>
                        </w:p>
                        <w:p w:rsidR="00414D28" w:rsidRDefault="00414D28" w:rsidP="00414D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BCB0F"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414D28" w:rsidRDefault="00414D28" w:rsidP="00414D28">
                    <w:pPr>
                      <w:jc w:val="center"/>
                    </w:pPr>
                  </w:p>
                  <w:p w:rsidR="00414D28" w:rsidRDefault="00414D28" w:rsidP="00414D28">
                    <w:pPr>
                      <w:jc w:val="center"/>
                    </w:pPr>
                  </w:p>
                  <w:p w:rsidR="00414D28" w:rsidRPr="007E31E4" w:rsidRDefault="00414D28" w:rsidP="00414D28">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414D28" w:rsidRPr="007E31E4" w:rsidRDefault="00414D28" w:rsidP="00414D28">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414D28" w:rsidRPr="000C2407" w:rsidRDefault="00414D28" w:rsidP="00414D28">
                    <w:pPr>
                      <w:jc w:val="both"/>
                      <w:rPr>
                        <w:rFonts w:asciiTheme="minorHAnsi" w:hAnsiTheme="minorHAnsi"/>
                        <w:szCs w:val="22"/>
                      </w:rPr>
                    </w:pPr>
                    <w:r>
                      <w:rPr>
                        <w:rFonts w:asciiTheme="minorHAnsi" w:hAnsiTheme="minorHAnsi" w:cs="Arial"/>
                        <w:b/>
                        <w:szCs w:val="22"/>
                      </w:rPr>
                      <w:t>Av. José Nunes Abreu, 6.000 – CNPJ: 87.612.974/0001-04, fone: (55) 3367 2000</w:t>
                    </w:r>
                  </w:p>
                  <w:p w:rsidR="00414D28" w:rsidRDefault="00414D28" w:rsidP="00414D28">
                    <w:pPr>
                      <w:jc w:val="center"/>
                    </w:pPr>
                  </w:p>
                  <w:p w:rsidR="00414D28" w:rsidRDefault="00414D28" w:rsidP="00414D28">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1744946" r:id="rId2"/>
      </w:object>
    </w:r>
  </w:p>
  <w:p w:rsidR="00414D28" w:rsidRDefault="00414D28">
    <w:pPr>
      <w:pStyle w:val="Cabealho"/>
    </w:pPr>
  </w:p>
  <w:p w:rsidR="00414D28" w:rsidRDefault="00414D2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3EC"/>
    <w:rsid w:val="000E43A1"/>
    <w:rsid w:val="003616C4"/>
    <w:rsid w:val="00414D28"/>
    <w:rsid w:val="006D3A02"/>
    <w:rsid w:val="00886BC0"/>
    <w:rsid w:val="00B963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44E3"/>
  <w15:chartTrackingRefBased/>
  <w15:docId w15:val="{95B8C6AC-E918-4810-A30C-77215EEB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EC"/>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963E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63EC"/>
    <w:rPr>
      <w:rFonts w:asciiTheme="majorHAnsi" w:eastAsiaTheme="majorEastAsia" w:hAnsiTheme="majorHAnsi" w:cstheme="majorBidi"/>
      <w:color w:val="2E74B5" w:themeColor="accent1" w:themeShade="BF"/>
      <w:sz w:val="32"/>
      <w:szCs w:val="32"/>
    </w:rPr>
  </w:style>
  <w:style w:type="character" w:styleId="Hyperlink">
    <w:name w:val="Hyperlink"/>
    <w:uiPriority w:val="99"/>
    <w:semiHidden/>
    <w:unhideWhenUsed/>
    <w:rsid w:val="00B963EC"/>
    <w:rPr>
      <w:color w:val="0000FF"/>
      <w:u w:val="single"/>
    </w:rPr>
  </w:style>
  <w:style w:type="character" w:styleId="HiperlinkVisitado">
    <w:name w:val="FollowedHyperlink"/>
    <w:basedOn w:val="Fontepargpadro"/>
    <w:uiPriority w:val="99"/>
    <w:semiHidden/>
    <w:unhideWhenUsed/>
    <w:rsid w:val="00B963EC"/>
    <w:rPr>
      <w:color w:val="954F72" w:themeColor="followedHyperlink"/>
      <w:u w:val="single"/>
    </w:rPr>
  </w:style>
  <w:style w:type="paragraph" w:customStyle="1" w:styleId="msonormal0">
    <w:name w:val="msonormal"/>
    <w:basedOn w:val="Normal"/>
    <w:uiPriority w:val="99"/>
    <w:semiHidden/>
    <w:rsid w:val="00B963EC"/>
    <w:pPr>
      <w:spacing w:before="100" w:beforeAutospacing="1" w:after="100" w:afterAutospacing="1"/>
    </w:pPr>
    <w:rPr>
      <w:rFonts w:ascii="Times New Roman" w:hAnsi="Times New Roman"/>
      <w:sz w:val="24"/>
      <w:szCs w:val="24"/>
      <w:lang w:eastAsia="pt-BR"/>
    </w:rPr>
  </w:style>
  <w:style w:type="paragraph" w:styleId="NormalWeb">
    <w:name w:val="Normal (Web)"/>
    <w:basedOn w:val="Normal"/>
    <w:uiPriority w:val="99"/>
    <w:semiHidden/>
    <w:unhideWhenUsed/>
    <w:rsid w:val="00B963E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963E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963EC"/>
    <w:rPr>
      <w:rFonts w:ascii="Times New Roman" w:eastAsia="Times New Roman" w:hAnsi="Times New Roman" w:cs="Times New Roman"/>
      <w:sz w:val="20"/>
      <w:szCs w:val="20"/>
    </w:rPr>
  </w:style>
  <w:style w:type="paragraph" w:styleId="Cabealho">
    <w:name w:val="header"/>
    <w:basedOn w:val="Normal"/>
    <w:link w:val="CabealhoChar"/>
    <w:uiPriority w:val="99"/>
    <w:unhideWhenUsed/>
    <w:rsid w:val="00B963EC"/>
    <w:pPr>
      <w:tabs>
        <w:tab w:val="center" w:pos="4252"/>
        <w:tab w:val="right" w:pos="8504"/>
      </w:tabs>
    </w:pPr>
  </w:style>
  <w:style w:type="character" w:customStyle="1" w:styleId="CabealhoChar">
    <w:name w:val="Cabeçalho Char"/>
    <w:basedOn w:val="Fontepargpadro"/>
    <w:link w:val="Cabealho"/>
    <w:uiPriority w:val="99"/>
    <w:rsid w:val="00B963EC"/>
    <w:rPr>
      <w:rFonts w:ascii="Arial" w:eastAsia="Times New Roman" w:hAnsi="Arial" w:cs="Times New Roman"/>
      <w:szCs w:val="20"/>
    </w:rPr>
  </w:style>
  <w:style w:type="paragraph" w:styleId="Rodap">
    <w:name w:val="footer"/>
    <w:basedOn w:val="Normal"/>
    <w:link w:val="RodapChar"/>
    <w:uiPriority w:val="99"/>
    <w:unhideWhenUsed/>
    <w:rsid w:val="00B963EC"/>
    <w:pPr>
      <w:tabs>
        <w:tab w:val="center" w:pos="4252"/>
        <w:tab w:val="right" w:pos="8504"/>
      </w:tabs>
    </w:pPr>
  </w:style>
  <w:style w:type="character" w:customStyle="1" w:styleId="RodapChar">
    <w:name w:val="Rodapé Char"/>
    <w:basedOn w:val="Fontepargpadro"/>
    <w:link w:val="Rodap"/>
    <w:uiPriority w:val="99"/>
    <w:rsid w:val="00B963EC"/>
    <w:rPr>
      <w:rFonts w:ascii="Arial" w:eastAsia="Times New Roman" w:hAnsi="Arial" w:cs="Times New Roman"/>
      <w:szCs w:val="20"/>
    </w:rPr>
  </w:style>
  <w:style w:type="paragraph" w:styleId="Corpodetexto">
    <w:name w:val="Body Text"/>
    <w:basedOn w:val="Normal"/>
    <w:link w:val="CorpodetextoChar"/>
    <w:uiPriority w:val="99"/>
    <w:semiHidden/>
    <w:unhideWhenUsed/>
    <w:rsid w:val="00B963EC"/>
    <w:pPr>
      <w:spacing w:after="120"/>
    </w:pPr>
  </w:style>
  <w:style w:type="character" w:customStyle="1" w:styleId="CorpodetextoChar">
    <w:name w:val="Corpo de texto Char"/>
    <w:basedOn w:val="Fontepargpadro"/>
    <w:link w:val="Corpodetexto"/>
    <w:uiPriority w:val="99"/>
    <w:semiHidden/>
    <w:rsid w:val="00B963EC"/>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B963EC"/>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B963EC"/>
    <w:rPr>
      <w:rFonts w:ascii="Arial" w:eastAsia="Times New Roman" w:hAnsi="Arial" w:cs="Times New Roman"/>
      <w:szCs w:val="20"/>
    </w:rPr>
  </w:style>
  <w:style w:type="paragraph" w:styleId="Textodebalo">
    <w:name w:val="Balloon Text"/>
    <w:basedOn w:val="Normal"/>
    <w:link w:val="TextodebaloChar"/>
    <w:uiPriority w:val="99"/>
    <w:semiHidden/>
    <w:unhideWhenUsed/>
    <w:rsid w:val="00B963EC"/>
    <w:rPr>
      <w:rFonts w:ascii="Segoe UI" w:hAnsi="Segoe UI" w:cs="Segoe UI"/>
      <w:sz w:val="18"/>
      <w:szCs w:val="18"/>
    </w:rPr>
  </w:style>
  <w:style w:type="character" w:customStyle="1" w:styleId="TextodebaloChar">
    <w:name w:val="Texto de balão Char"/>
    <w:basedOn w:val="Fontepargpadro"/>
    <w:link w:val="Textodebalo"/>
    <w:uiPriority w:val="99"/>
    <w:semiHidden/>
    <w:rsid w:val="00B963EC"/>
    <w:rPr>
      <w:rFonts w:ascii="Segoe UI" w:eastAsia="Times New Roman" w:hAnsi="Segoe UI" w:cs="Segoe UI"/>
      <w:sz w:val="18"/>
      <w:szCs w:val="18"/>
    </w:rPr>
  </w:style>
  <w:style w:type="paragraph" w:customStyle="1" w:styleId="Textoembloco1">
    <w:name w:val="Texto em bloco1"/>
    <w:basedOn w:val="Normal"/>
    <w:uiPriority w:val="99"/>
    <w:semiHidden/>
    <w:rsid w:val="00B963EC"/>
    <w:pPr>
      <w:ind w:left="4253" w:right="57" w:firstLine="1134"/>
      <w:jc w:val="both"/>
    </w:pPr>
    <w:rPr>
      <w:i/>
      <w:spacing w:val="14"/>
    </w:rPr>
  </w:style>
  <w:style w:type="paragraph" w:customStyle="1" w:styleId="Default">
    <w:name w:val="Default"/>
    <w:uiPriority w:val="99"/>
    <w:semiHidden/>
    <w:rsid w:val="00B963EC"/>
    <w:pPr>
      <w:autoSpaceDE w:val="0"/>
      <w:autoSpaceDN w:val="0"/>
      <w:adjustRightInd w:val="0"/>
      <w:spacing w:after="0" w:line="240" w:lineRule="auto"/>
    </w:pPr>
    <w:rPr>
      <w:rFonts w:ascii="Arial" w:eastAsia="Calibri" w:hAnsi="Arial" w:cs="Arial"/>
      <w:color w:val="000000"/>
      <w:sz w:val="24"/>
      <w:szCs w:val="24"/>
    </w:rPr>
  </w:style>
  <w:style w:type="character" w:customStyle="1" w:styleId="Nivel2Char">
    <w:name w:val="Nivel 2 Char"/>
    <w:link w:val="Nivel2"/>
    <w:semiHidden/>
    <w:locked/>
    <w:rsid w:val="00B963EC"/>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B963EC"/>
    <w:pPr>
      <w:spacing w:before="120" w:after="120" w:line="276" w:lineRule="auto"/>
      <w:ind w:left="4969" w:hanging="432"/>
      <w:jc w:val="both"/>
    </w:pPr>
    <w:rPr>
      <w:rFonts w:eastAsia="MS Mincho" w:cs="Arial"/>
      <w:color w:val="000000"/>
      <w:sz w:val="20"/>
      <w:lang w:eastAsia="pt-BR"/>
    </w:rPr>
  </w:style>
  <w:style w:type="character" w:styleId="Refdenotaderodap">
    <w:name w:val="footnote reference"/>
    <w:uiPriority w:val="99"/>
    <w:semiHidden/>
    <w:unhideWhenUsed/>
    <w:rsid w:val="00B963EC"/>
    <w:rPr>
      <w:vertAlign w:val="superscript"/>
    </w:rPr>
  </w:style>
  <w:style w:type="character" w:customStyle="1" w:styleId="TextodebaloChar1">
    <w:name w:val="Texto de balão Char1"/>
    <w:basedOn w:val="Fontepargpadro"/>
    <w:uiPriority w:val="99"/>
    <w:semiHidden/>
    <w:rsid w:val="00B963EC"/>
    <w:rPr>
      <w:rFonts w:ascii="Segoe UI" w:eastAsia="Times New Roman"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14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3" Type="http://schemas.openxmlformats.org/officeDocument/2006/relationships/webSettings" Target="web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27</Pages>
  <Words>6609</Words>
  <Characters>35691</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2025-06-18T11:39:00Z</cp:lastPrinted>
  <dcterms:created xsi:type="dcterms:W3CDTF">2025-06-18T11:23:00Z</dcterms:created>
  <dcterms:modified xsi:type="dcterms:W3CDTF">2025-06-18T12:42:00Z</dcterms:modified>
</cp:coreProperties>
</file>