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3B" w:rsidRDefault="0075603B" w:rsidP="0075603B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107</w:t>
      </w:r>
      <w:r>
        <w:rPr>
          <w:rFonts w:ascii="Calibri" w:eastAsia="Times New Roman" w:hAnsi="Calibri" w:cs="Times New Roman"/>
          <w:b/>
          <w:bCs/>
        </w:rPr>
        <w:t>-2025</w:t>
      </w:r>
    </w:p>
    <w:p w:rsidR="0075603B" w:rsidRDefault="0075603B" w:rsidP="0075603B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:rsidR="0075603B" w:rsidRPr="002112F1" w:rsidRDefault="0075603B" w:rsidP="0075603B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 w:rsidRPr="002112F1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presente Termo de Referência tem como objetivo a contratação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2112F1">
        <w:rPr>
          <w:rFonts w:ascii="Calibri" w:eastAsia="Times New Roman" w:hAnsi="Calibri" w:cs="Times New Roman"/>
          <w:lang w:eastAsia="pt-BR"/>
        </w:rPr>
        <w:t>de empresa especializada na locação, instalação, manutenção e desmontagem de brinquedos infláveis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2112F1">
        <w:rPr>
          <w:rFonts w:ascii="Calibri" w:eastAsia="Times New Roman" w:hAnsi="Calibri" w:cs="Times New Roman"/>
          <w:lang w:eastAsia="pt-BR"/>
        </w:rPr>
        <w:t xml:space="preserve">por meio de Pregão Eletrônico, tipo registro de preços de empresa para fornecimento de bens e materiais, conforme especificações e condições estabelecidas neste documento, destinados a apoiar os eventos promovidos pela Secretaria da Educação, Cultura, Desporto e Turismo </w:t>
      </w:r>
      <w:r>
        <w:rPr>
          <w:rFonts w:ascii="Calibri" w:eastAsia="Times New Roman" w:hAnsi="Calibri" w:cs="Times New Roman"/>
          <w:lang w:eastAsia="pt-BR"/>
        </w:rPr>
        <w:t xml:space="preserve">da Prefeitura </w:t>
      </w:r>
      <w:r w:rsidRPr="002112F1">
        <w:rPr>
          <w:rFonts w:ascii="Calibri" w:eastAsia="Times New Roman" w:hAnsi="Calibri" w:cs="Times New Roman"/>
          <w:lang w:eastAsia="pt-BR"/>
        </w:rPr>
        <w:t>de Santo Antônio das Missões-RS, conforme especificações e condições estabelecidas neste Termo de Referência.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:rsidR="0075603B" w:rsidRPr="002112F1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:rsidR="0075603B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</w:p>
    <w:p w:rsidR="0075603B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 xml:space="preserve">A contratação visa garantir a oferta de atividades de lazer e desenvolvimento infantil em eventos </w:t>
      </w:r>
      <w:proofErr w:type="gramStart"/>
      <w:r w:rsidRPr="002112F1">
        <w:rPr>
          <w:rFonts w:ascii="Calibri" w:eastAsia="Times New Roman" w:hAnsi="Calibri" w:cs="Times New Roman"/>
          <w:lang w:eastAsia="pt-BR"/>
        </w:rPr>
        <w:t>municipais</w:t>
      </w:r>
      <w:proofErr w:type="gramEnd"/>
      <w:r w:rsidRPr="002112F1">
        <w:rPr>
          <w:rFonts w:ascii="Calibri" w:eastAsia="Times New Roman" w:hAnsi="Calibri" w:cs="Times New Roman"/>
          <w:lang w:eastAsia="pt-BR"/>
        </w:rPr>
        <w:t>, promovendo segurança, qualidade e inclusão, além de atender às demandas de ampliação do acesso ao entretenimento seguro para a comunidade.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:rsidR="0075603B" w:rsidRPr="002112F1" w:rsidRDefault="0075603B" w:rsidP="0075603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Registro de preços para eventual</w:t>
      </w:r>
      <w:r>
        <w:rPr>
          <w:rFonts w:ascii="Calibri" w:eastAsia="Times New Roman" w:hAnsi="Calibri" w:cs="Times New Roman"/>
          <w:b/>
          <w:bCs/>
          <w:lang w:eastAsia="pt-BR"/>
        </w:rPr>
        <w:t xml:space="preserve"> contratação de</w:t>
      </w:r>
      <w:r w:rsidRPr="002112F1">
        <w:rPr>
          <w:rFonts w:ascii="Calibri" w:eastAsia="Times New Roman" w:hAnsi="Calibri" w:cs="Times New Roman"/>
          <w:b/>
          <w:bCs/>
          <w:lang w:eastAsia="pt-BR"/>
        </w:rPr>
        <w:t xml:space="preserve"> </w:t>
      </w:r>
      <w:r>
        <w:rPr>
          <w:rFonts w:ascii="Calibri" w:eastAsia="Times New Roman" w:hAnsi="Calibri" w:cs="Times New Roman"/>
          <w:b/>
          <w:bCs/>
          <w:lang w:eastAsia="pt-BR"/>
        </w:rPr>
        <w:t>serviços/locação</w:t>
      </w:r>
      <w:r w:rsidRPr="002112F1">
        <w:rPr>
          <w:rFonts w:ascii="Calibri" w:eastAsia="Times New Roman" w:hAnsi="Calibri" w:cs="Times New Roman"/>
          <w:b/>
          <w:bCs/>
          <w:lang w:eastAsia="pt-BR"/>
        </w:rPr>
        <w:t xml:space="preserve"> dos seguintes itens: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Piscinas de Bolinhas</w:t>
      </w:r>
      <w:r w:rsidRPr="00577BDD">
        <w:rPr>
          <w:rFonts w:asciiTheme="minorHAnsi" w:hAnsiTheme="minorHAnsi" w:cstheme="minorHAnsi"/>
          <w:color w:val="000000"/>
        </w:rPr>
        <w:br/>
        <w:t>Espaço acolhedor e seguro, composto por uma grande quantidade de bolinhas plásticas coloridas, onde as crianças podem brincar, saltar e se divertir livremente. O monitor supervisiona as atividades, assegurando que as crianças brinquem de forma segura e organizada.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 xml:space="preserve">Tobogã </w:t>
      </w:r>
      <w:r w:rsidRPr="00577BDD">
        <w:rPr>
          <w:rFonts w:asciiTheme="minorHAnsi" w:hAnsiTheme="minorHAnsi" w:cstheme="minorHAnsi"/>
          <w:color w:val="000000"/>
        </w:rPr>
        <w:br/>
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Cama Elástica</w:t>
      </w:r>
      <w:r w:rsidRPr="00577BDD">
        <w:rPr>
          <w:rFonts w:asciiTheme="minorHAnsi" w:hAnsiTheme="minorHAnsi" w:cstheme="minorHAnsi"/>
          <w:color w:val="000000"/>
        </w:rPr>
        <w:br/>
        <w:t xml:space="preserve">Equipamento de salto com estrutura reforçada e superfície elástica, permitindo </w:t>
      </w:r>
      <w:r w:rsidRPr="00577BDD">
        <w:rPr>
          <w:rFonts w:asciiTheme="minorHAnsi" w:hAnsiTheme="minorHAnsi" w:cstheme="minorHAnsi"/>
          <w:color w:val="000000"/>
        </w:rPr>
        <w:lastRenderedPageBreak/>
        <w:t>às crianças pular com segurança. O monitor fica atento ao comportamento das crianças, orientando sobre o uso correto e intervindo em caso de necessidade para evitar acidentes.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Touro Mecânico</w:t>
      </w:r>
      <w:r w:rsidRPr="00577BDD">
        <w:rPr>
          <w:rFonts w:asciiTheme="minorHAnsi" w:hAnsiTheme="minorHAnsi" w:cstheme="minorHAnsi"/>
          <w:color w:val="000000"/>
        </w:rPr>
        <w:br/>
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Carinho de Pipoca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produção de pipoca quente e crocante, oferecido durante eventos, com monitor responsável pela operação da máquina, garantindo a segurança no manuseio e a qualidade do produto. A pipoca é servida de forma organizada e segura para os participantes.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Futebol de Sabão</w:t>
      </w:r>
      <w:r w:rsidRPr="00577BDD">
        <w:rPr>
          <w:rFonts w:asciiTheme="minorHAnsi" w:hAnsiTheme="minorHAnsi" w:cstheme="minorHAnsi"/>
          <w:color w:val="000000"/>
        </w:rPr>
        <w:br/>
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</w:r>
    </w:p>
    <w:p w:rsidR="0075603B" w:rsidRPr="00577BDD" w:rsidRDefault="0075603B" w:rsidP="0075603B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bookmarkStart w:id="0" w:name="_Hlk201052275"/>
      <w:r w:rsidRPr="00577BDD">
        <w:rPr>
          <w:rStyle w:val="Forte"/>
          <w:rFonts w:asciiTheme="minorHAnsi" w:hAnsiTheme="minorHAnsi" w:cstheme="minorHAnsi"/>
          <w:color w:val="000000"/>
        </w:rPr>
        <w:t>Algodão Doce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fabricação de algodão doce, realizado por um monitor treinado, que manipula a máquina de algodão doce para produzir o doce de forma segura. O monitor também organiza a distribuição, garantindo higiene e segurança na manipulação do alimento.</w:t>
      </w:r>
    </w:p>
    <w:bookmarkEnd w:id="0"/>
    <w:p w:rsidR="0075603B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:rsidR="0075603B" w:rsidRPr="002112F1" w:rsidRDefault="0075603B" w:rsidP="0075603B">
      <w:pPr>
        <w:rPr>
          <w:rFonts w:ascii="Arial" w:eastAsia="Times New Roman" w:hAnsi="Arial" w:cs="Times New Roman"/>
          <w:szCs w:val="20"/>
        </w:rPr>
      </w:pP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Os bens e materiais</w:t>
      </w:r>
      <w:r>
        <w:rPr>
          <w:rFonts w:ascii="Calibri" w:eastAsia="Times New Roman" w:hAnsi="Calibri" w:cs="Times New Roman"/>
          <w:lang w:eastAsia="pt-BR"/>
        </w:rPr>
        <w:t xml:space="preserve"> da contratação</w:t>
      </w:r>
      <w:r w:rsidRPr="002112F1">
        <w:rPr>
          <w:rFonts w:ascii="Calibri" w:eastAsia="Times New Roman" w:hAnsi="Calibri" w:cs="Times New Roman"/>
          <w:lang w:eastAsia="pt-BR"/>
        </w:rPr>
        <w:t xml:space="preserve"> devem atender às seguintes especificações:</w:t>
      </w:r>
    </w:p>
    <w:p w:rsidR="0075603B" w:rsidRDefault="0075603B" w:rsidP="0075603B">
      <w:pPr>
        <w:rPr>
          <w:rFonts w:ascii="Calibri" w:eastAsia="Times New Roman" w:hAnsi="Calibri" w:cs="Times New Roman"/>
          <w:b/>
          <w:bCs/>
          <w:lang w:eastAsia="pt-BR"/>
        </w:rPr>
      </w:pP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.1. </w:t>
      </w:r>
      <w:r w:rsidRPr="002112F1">
        <w:rPr>
          <w:rFonts w:ascii="Calibri" w:eastAsia="Times New Roman" w:hAnsi="Calibri" w:cs="Times New Roman"/>
          <w:szCs w:val="20"/>
        </w:rPr>
        <w:t>Fornecimento de brinquedos infláveis certificados, seguros e adequados às normas técnicas brasileiras (ABNT NBR 16071).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>.2</w:t>
      </w:r>
      <w:r w:rsidRPr="002112F1">
        <w:rPr>
          <w:rFonts w:ascii="Calibri" w:eastAsia="Times New Roman" w:hAnsi="Calibri" w:cs="Times New Roman"/>
          <w:szCs w:val="20"/>
        </w:rPr>
        <w:t>. Instalação e desmontagem dos brinquedos nos locais indicados pela Secretaria, em datas previamente agendadas.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.3. </w:t>
      </w:r>
      <w:r w:rsidRPr="00D73914">
        <w:rPr>
          <w:rFonts w:ascii="Calibri" w:eastAsia="Times New Roman" w:hAnsi="Calibri" w:cs="Times New Roman"/>
          <w:szCs w:val="20"/>
        </w:rPr>
        <w:t>Manutenção preventiva e corretiva durante a realização dos eventos, garantindo o funcionamento adequado dos equipamentos.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.4. </w:t>
      </w:r>
      <w:r w:rsidRPr="00D73914">
        <w:rPr>
          <w:rFonts w:ascii="Calibri" w:eastAsia="Times New Roman" w:hAnsi="Calibri" w:cs="Times New Roman"/>
          <w:szCs w:val="20"/>
        </w:rPr>
        <w:t>Operação dos brinquedos por equipe treinada, garantindo a segurança dos usuários.</w:t>
      </w:r>
    </w:p>
    <w:p w:rsidR="0075603B" w:rsidRPr="00D73914" w:rsidRDefault="0075603B" w:rsidP="0075603B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.5. </w:t>
      </w:r>
      <w:r w:rsidRPr="00D73914">
        <w:rPr>
          <w:rFonts w:ascii="Calibri" w:eastAsia="Times New Roman" w:hAnsi="Calibri" w:cs="Times New Roman"/>
          <w:szCs w:val="20"/>
        </w:rPr>
        <w:t>Transporte dos brinquedos até os locais de instalação, com logística planejada para otimizar recursos e reduzir impactos ambientais.</w:t>
      </w:r>
    </w:p>
    <w:p w:rsidR="0075603B" w:rsidRDefault="0075603B" w:rsidP="0075603B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.6. </w:t>
      </w:r>
      <w:r w:rsidRPr="00D73914">
        <w:rPr>
          <w:rFonts w:ascii="Calibri" w:eastAsia="Times New Roman" w:hAnsi="Calibri" w:cs="Times New Roman"/>
          <w:szCs w:val="20"/>
        </w:rPr>
        <w:t>Limpeza e higienização dos brinquedos antes, durante e após os eventos.</w:t>
      </w:r>
    </w:p>
    <w:p w:rsidR="0075603B" w:rsidRDefault="0075603B" w:rsidP="0075603B">
      <w:pPr>
        <w:jc w:val="both"/>
        <w:rPr>
          <w:rFonts w:ascii="Calibri" w:eastAsia="Times New Roman" w:hAnsi="Calibri" w:cs="Times New Roman"/>
          <w:szCs w:val="20"/>
        </w:rPr>
      </w:pPr>
    </w:p>
    <w:p w:rsidR="0075603B" w:rsidRDefault="0075603B" w:rsidP="0075603B">
      <w:pPr>
        <w:jc w:val="both"/>
        <w:rPr>
          <w:rFonts w:ascii="Calibri" w:eastAsia="Times New Roman" w:hAnsi="Calibri" w:cs="Times New Roman"/>
          <w:b/>
          <w:bCs/>
          <w:szCs w:val="20"/>
        </w:rPr>
      </w:pPr>
    </w:p>
    <w:p w:rsidR="0075603B" w:rsidRDefault="0075603B" w:rsidP="0075603B">
      <w:pPr>
        <w:rPr>
          <w:rFonts w:ascii="Calibri" w:eastAsia="Times New Roman" w:hAnsi="Calibri" w:cs="Times New Roman"/>
          <w:b/>
          <w:bCs/>
          <w:szCs w:val="20"/>
        </w:rPr>
      </w:pPr>
    </w:p>
    <w:p w:rsidR="0075603B" w:rsidRPr="002112F1" w:rsidRDefault="0075603B" w:rsidP="0075603B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520" w:type="dxa"/>
        <w:tblInd w:w="-516" w:type="dxa"/>
        <w:tblLook w:val="04A0" w:firstRow="1" w:lastRow="0" w:firstColumn="1" w:lastColumn="0" w:noHBand="0" w:noVBand="1"/>
      </w:tblPr>
      <w:tblGrid>
        <w:gridCol w:w="5047"/>
        <w:gridCol w:w="1588"/>
        <w:gridCol w:w="980"/>
        <w:gridCol w:w="777"/>
        <w:gridCol w:w="1128"/>
      </w:tblGrid>
      <w:tr w:rsidR="0075603B" w:rsidRPr="002112F1" w:rsidTr="006D0E42">
        <w:tc>
          <w:tcPr>
            <w:tcW w:w="5047" w:type="dxa"/>
          </w:tcPr>
          <w:p w:rsidR="0075603B" w:rsidRPr="00097503" w:rsidRDefault="0075603B" w:rsidP="006D0E42">
            <w:pPr>
              <w:rPr>
                <w:rFonts w:ascii="Calibri" w:hAnsi="Calibri" w:cs="Calibri"/>
                <w:b/>
                <w:bCs/>
              </w:rPr>
            </w:pPr>
            <w:r w:rsidRPr="00097503">
              <w:rPr>
                <w:rFonts w:ascii="Calibri" w:hAnsi="Calibri" w:cs="Calibri"/>
                <w:b/>
                <w:bCs/>
              </w:rPr>
              <w:t>Descrição dos</w:t>
            </w:r>
            <w:r>
              <w:rPr>
                <w:rFonts w:ascii="Calibri" w:hAnsi="Calibri" w:cs="Calibri"/>
                <w:b/>
                <w:bCs/>
              </w:rPr>
              <w:t xml:space="preserve"> (</w:t>
            </w:r>
            <w:r w:rsidRPr="00097503">
              <w:rPr>
                <w:rFonts w:ascii="Calibri" w:hAnsi="Calibri" w:cs="Calibri"/>
                <w:b/>
                <w:bCs/>
              </w:rPr>
              <w:t>serviços</w:t>
            </w:r>
            <w:r>
              <w:rPr>
                <w:rFonts w:ascii="Calibri" w:hAnsi="Calibri" w:cs="Calibri"/>
                <w:b/>
                <w:bCs/>
              </w:rPr>
              <w:t>/locação )</w:t>
            </w:r>
            <w:r w:rsidRPr="00097503">
              <w:rPr>
                <w:rFonts w:ascii="Calibri" w:hAnsi="Calibri" w:cs="Calibri"/>
                <w:b/>
                <w:bCs/>
              </w:rPr>
              <w:t xml:space="preserve"> a serem prestados por </w:t>
            </w:r>
            <w:r>
              <w:rPr>
                <w:rFonts w:ascii="Calibri" w:hAnsi="Calibri" w:cs="Calibri"/>
                <w:b/>
                <w:bCs/>
              </w:rPr>
              <w:t>hora.</w:t>
            </w:r>
          </w:p>
        </w:tc>
        <w:tc>
          <w:tcPr>
            <w:tcW w:w="1588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proofErr w:type="spellStart"/>
            <w:r w:rsidRPr="002112F1">
              <w:rPr>
                <w:rFonts w:ascii="Calibri" w:hAnsi="Calibri" w:cs="Calibri"/>
              </w:rPr>
              <w:t>Qtd</w:t>
            </w:r>
            <w:proofErr w:type="spellEnd"/>
            <w:r w:rsidRPr="002112F1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proofErr w:type="spellStart"/>
            <w:r w:rsidRPr="002112F1">
              <w:rPr>
                <w:rFonts w:ascii="Calibri" w:hAnsi="Calibri" w:cs="Calibri"/>
              </w:rPr>
              <w:t>Qtd</w:t>
            </w:r>
            <w:proofErr w:type="spellEnd"/>
            <w:r w:rsidRPr="002112F1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128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Total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191141" w:rsidRDefault="0075603B" w:rsidP="006D0E4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191141">
              <w:rPr>
                <w:rFonts w:ascii="Calibri" w:hAnsi="Calibri" w:cs="Calibri"/>
                <w:b/>
                <w:bCs/>
              </w:rPr>
              <w:t xml:space="preserve">Piscinas de Bolinhas </w:t>
            </w:r>
          </w:p>
          <w:p w:rsidR="0075603B" w:rsidRPr="00B0456B" w:rsidRDefault="0075603B" w:rsidP="006D0E42">
            <w:pPr>
              <w:jc w:val="both"/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Espaço acolhedor e seguro, composto por uma grande quantidade de bolinhas plásticas coloridas, onde as crianças podem brincar, saltar e se divertir livremente. O monitor supervisiona as atividades, assegurando que as crianças brinquem de forma segura e organizada.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9485F">
              <w:rPr>
                <w:rFonts w:ascii="Calibri" w:hAnsi="Calibri" w:cs="Calibri"/>
              </w:rPr>
              <w:t>60,29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3.014,5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BD0BD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Tobogã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:rsidR="0075603B" w:rsidRPr="002112F1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56,02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2.801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BD0BD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Cama Elástica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="0075603B" w:rsidRPr="002112F1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Equipamento de salto com estrutura reforçada e superfície elástica, permitindo às crianças pular com segurança. O monitor fica atento ao comportamento das crianças, orientando sobre o uso correto e intervindo em caso de necessidade para evitar acidentes.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9485F">
              <w:rPr>
                <w:rFonts w:ascii="Calibri" w:hAnsi="Calibri" w:cs="Calibri"/>
              </w:rPr>
              <w:t>58,32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2.916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BD0BD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Touro Mecânico</w:t>
            </w:r>
          </w:p>
          <w:p w:rsidR="0075603B" w:rsidRPr="002112F1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82,91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4.145,5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BD0BD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Carinho de Pipoca (produzido durante evento</w:t>
            </w:r>
            <w:r>
              <w:rPr>
                <w:rFonts w:ascii="Calibri" w:hAnsi="Calibri" w:cs="Calibri"/>
                <w:b/>
                <w:bCs/>
              </w:rPr>
              <w:t>).</w:t>
            </w:r>
          </w:p>
          <w:p w:rsidR="0075603B" w:rsidRPr="002112F1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Serviço de produção de pipoca quente e crocante, oferecido durante eventos, com monitor responsável pela operação da máquina, garantindo a segurança no manuseio e a qualidade do produto. A pipoca é servida de forma organizada e segura para os participantes.</w:t>
            </w:r>
            <w:r>
              <w:rPr>
                <w:rFonts w:ascii="Calibri" w:hAnsi="Calibri" w:cs="Calibri"/>
              </w:rPr>
              <w:t xml:space="preserve"> Incluindo ingredientes e mão de obra do operador.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8065B2">
              <w:rPr>
                <w:rFonts w:ascii="Calibri" w:hAnsi="Calibri" w:cs="Calibri"/>
              </w:rPr>
              <w:t>49,79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2.489,5</w:t>
            </w:r>
            <w:r>
              <w:rPr>
                <w:rFonts w:ascii="Calibri" w:hAnsi="Calibri" w:cs="Calibri"/>
              </w:rPr>
              <w:t>0</w:t>
            </w: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</w:p>
        </w:tc>
      </w:tr>
      <w:tr w:rsidR="0075603B" w:rsidRPr="002112F1" w:rsidTr="006D0E42">
        <w:tc>
          <w:tcPr>
            <w:tcW w:w="5047" w:type="dxa"/>
          </w:tcPr>
          <w:p w:rsidR="0075603B" w:rsidRDefault="0075603B" w:rsidP="006D0E4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6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Futebol de Sabão</w:t>
            </w:r>
          </w:p>
          <w:p w:rsidR="0075603B" w:rsidRPr="00D73914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116,49</w:t>
            </w:r>
            <w:r>
              <w:rPr>
                <w:rFonts w:ascii="Calibri" w:hAnsi="Calibri" w:cs="Calibri"/>
              </w:rPr>
              <w:t>/H</w:t>
            </w: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5.824,5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BD0BD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BD0BD1">
              <w:rPr>
                <w:rFonts w:ascii="Calibri" w:hAnsi="Calibri" w:cs="Calibri"/>
              </w:rPr>
              <w:t>.</w:t>
            </w:r>
            <w:r w:rsidRPr="00BD0BD1">
              <w:rPr>
                <w:rFonts w:ascii="Calibri" w:hAnsi="Calibri" w:cs="Calibri"/>
              </w:rPr>
              <w:tab/>
            </w:r>
            <w:r w:rsidRPr="00BD0BD1">
              <w:rPr>
                <w:rFonts w:ascii="Calibri" w:hAnsi="Calibri" w:cs="Calibri"/>
                <w:b/>
                <w:bCs/>
              </w:rPr>
              <w:t>Algodão Doce (produzido durante evento</w:t>
            </w:r>
            <w:r>
              <w:rPr>
                <w:rFonts w:ascii="Calibri" w:hAnsi="Calibri" w:cs="Calibri"/>
                <w:b/>
                <w:bCs/>
              </w:rPr>
              <w:t>).</w:t>
            </w:r>
          </w:p>
          <w:p w:rsidR="0075603B" w:rsidRPr="00D73914" w:rsidRDefault="0075603B" w:rsidP="006D0E42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 xml:space="preserve">Serviço de fabricação de algodão doce, realizado por um monitor treinado, que manipula a máquina de algodão doce para produzir o doce de forma segura. O monitor também organiza a distribuição, garantindo higiene e segurança na </w:t>
            </w:r>
            <w:r w:rsidRPr="00BD0BD1">
              <w:rPr>
                <w:rFonts w:ascii="Calibri" w:hAnsi="Calibri" w:cs="Calibri"/>
              </w:rPr>
              <w:lastRenderedPageBreak/>
              <w:t>manipulação do alimento.</w:t>
            </w:r>
            <w:r>
              <w:rPr>
                <w:rFonts w:ascii="Calibri" w:hAnsi="Calibri" w:cs="Calibri"/>
              </w:rPr>
              <w:t xml:space="preserve"> </w:t>
            </w:r>
            <w:r w:rsidRPr="00E209D7">
              <w:rPr>
                <w:rFonts w:ascii="Calibri" w:hAnsi="Calibri" w:cs="Calibri"/>
              </w:rPr>
              <w:t>Incluindo ingredientes e mão de obra do operador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58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8065B2">
              <w:rPr>
                <w:rFonts w:ascii="Calibri" w:hAnsi="Calibri" w:cs="Calibri"/>
              </w:rPr>
              <w:t>48,32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Default="0075603B" w:rsidP="006D0E42">
            <w:pPr>
              <w:rPr>
                <w:rFonts w:ascii="Calibri" w:hAnsi="Calibri" w:cs="Calibri"/>
              </w:rPr>
            </w:pPr>
          </w:p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2.416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75603B" w:rsidRPr="002112F1" w:rsidTr="006D0E42">
        <w:tc>
          <w:tcPr>
            <w:tcW w:w="5047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lastRenderedPageBreak/>
              <w:t>Total</w:t>
            </w:r>
          </w:p>
        </w:tc>
        <w:tc>
          <w:tcPr>
            <w:tcW w:w="1588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472,17</w:t>
            </w:r>
          </w:p>
        </w:tc>
        <w:tc>
          <w:tcPr>
            <w:tcW w:w="980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</w:t>
            </w:r>
          </w:p>
        </w:tc>
        <w:tc>
          <w:tcPr>
            <w:tcW w:w="777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128" w:type="dxa"/>
          </w:tcPr>
          <w:p w:rsidR="0075603B" w:rsidRPr="002112F1" w:rsidRDefault="0075603B" w:rsidP="006D0E42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23.607</w:t>
            </w:r>
            <w:r>
              <w:rPr>
                <w:rFonts w:ascii="Calibri" w:hAnsi="Calibri" w:cs="Calibri"/>
              </w:rPr>
              <w:t>,00</w:t>
            </w:r>
          </w:p>
        </w:tc>
      </w:tr>
    </w:tbl>
    <w:p w:rsidR="0075603B" w:rsidRPr="002112F1" w:rsidRDefault="0075603B" w:rsidP="0075603B">
      <w:pPr>
        <w:rPr>
          <w:rFonts w:ascii="Calibri" w:eastAsia="Times New Roman" w:hAnsi="Calibri" w:cs="Times New Roman"/>
          <w:szCs w:val="20"/>
        </w:rPr>
      </w:pPr>
    </w:p>
    <w:p w:rsidR="0075603B" w:rsidRPr="002112F1" w:rsidRDefault="0075603B" w:rsidP="0075603B">
      <w:pPr>
        <w:rPr>
          <w:rFonts w:ascii="Calibri" w:eastAsia="Times New Roman" w:hAnsi="Calibri" w:cs="Times New Roman"/>
          <w:lang w:eastAsia="pt-BR"/>
        </w:rPr>
      </w:pP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:rsidR="0075603B" w:rsidRPr="002112F1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112F1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:rsidR="0075603B" w:rsidRPr="002112F1" w:rsidRDefault="0075603B" w:rsidP="0075603B">
      <w:pPr>
        <w:rPr>
          <w:rFonts w:ascii="Arial" w:eastAsia="Times New Roman" w:hAnsi="Arial" w:cs="Times New Roman"/>
          <w:szCs w:val="20"/>
        </w:rPr>
      </w:pP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2112F1">
        <w:rPr>
          <w:rFonts w:ascii="Calibri" w:eastAsia="Times New Roman" w:hAnsi="Calibri" w:cs="Times New Roman"/>
          <w:lang w:eastAsia="pt-BR"/>
        </w:rPr>
        <w:t xml:space="preserve"> Os itens deverão ser</w:t>
      </w:r>
      <w:r>
        <w:rPr>
          <w:rFonts w:ascii="Calibri" w:eastAsia="Times New Roman" w:hAnsi="Calibri" w:cs="Times New Roman"/>
          <w:lang w:eastAsia="pt-BR"/>
        </w:rPr>
        <w:t xml:space="preserve"> entregues no prazo máximo de 10</w:t>
      </w:r>
      <w:r w:rsidRPr="002112F1">
        <w:rPr>
          <w:rFonts w:ascii="Calibri" w:eastAsia="Times New Roman" w:hAnsi="Calibri" w:cs="Times New Roman"/>
          <w:lang w:eastAsia="pt-BR"/>
        </w:rPr>
        <w:t xml:space="preserve"> dias corridos, contados a partir do recebimento da ordem de fornecimento.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112F1">
        <w:rPr>
          <w:rFonts w:ascii="Calibri" w:eastAsia="Times New Roman" w:hAnsi="Calibri" w:cs="Times New Roman"/>
          <w:lang w:eastAsia="pt-BR"/>
        </w:rPr>
        <w:t xml:space="preserve"> Secretaria</w:t>
      </w:r>
      <w:r>
        <w:rPr>
          <w:rFonts w:ascii="Calibri" w:eastAsia="Times New Roman" w:hAnsi="Calibri" w:cs="Times New Roman"/>
          <w:lang w:eastAsia="pt-BR"/>
        </w:rPr>
        <w:t xml:space="preserve"> da</w:t>
      </w:r>
      <w:r w:rsidRPr="002112F1">
        <w:rPr>
          <w:rFonts w:ascii="Calibri" w:eastAsia="Times New Roman" w:hAnsi="Calibri" w:cs="Times New Roman"/>
          <w:lang w:eastAsia="pt-BR"/>
        </w:rPr>
        <w:t xml:space="preserve"> </w:t>
      </w:r>
      <w:r w:rsidRPr="007E57E4">
        <w:rPr>
          <w:rFonts w:ascii="Calibri" w:eastAsia="Times New Roman" w:hAnsi="Calibri" w:cs="Times New Roman"/>
          <w:lang w:eastAsia="pt-BR"/>
        </w:rPr>
        <w:t>Educação, Cultura, Desporto e Turismo</w:t>
      </w:r>
      <w:r w:rsidRPr="002112F1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>
        <w:rPr>
          <w:rFonts w:ascii="Calibri" w:eastAsia="Times New Roman" w:hAnsi="Calibri" w:cs="Times New Roman"/>
          <w:lang w:eastAsia="pt-BR"/>
        </w:rPr>
        <w:t>AV. José Nunes de Abreu</w:t>
      </w:r>
      <w:r w:rsidRPr="002112F1">
        <w:rPr>
          <w:rFonts w:ascii="Calibri" w:eastAsia="Times New Roman" w:hAnsi="Calibri" w:cs="Times New Roman"/>
          <w:lang w:eastAsia="pt-BR"/>
        </w:rPr>
        <w:t xml:space="preserve">, </w:t>
      </w:r>
      <w:r>
        <w:rPr>
          <w:rFonts w:ascii="Calibri" w:eastAsia="Times New Roman" w:hAnsi="Calibri" w:cs="Times New Roman"/>
          <w:lang w:eastAsia="pt-BR"/>
        </w:rPr>
        <w:t>6000</w:t>
      </w:r>
      <w:r w:rsidRPr="002112F1">
        <w:rPr>
          <w:rFonts w:ascii="Calibri" w:eastAsia="Times New Roman" w:hAnsi="Calibri" w:cs="Times New Roman"/>
          <w:lang w:eastAsia="pt-BR"/>
        </w:rPr>
        <w:t>, centro.</w:t>
      </w:r>
      <w:r>
        <w:rPr>
          <w:rFonts w:ascii="Calibri" w:eastAsia="Times New Roman" w:hAnsi="Calibri" w:cs="Times New Roman"/>
          <w:lang w:eastAsia="pt-BR"/>
        </w:rPr>
        <w:t xml:space="preserve"> Ou no local dos eventos.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2112F1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:rsidR="0075603B" w:rsidRPr="002112F1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</w:t>
      </w:r>
      <w:r>
        <w:rPr>
          <w:rFonts w:ascii="Calibri" w:eastAsia="Times New Roman" w:hAnsi="Calibri" w:cs="Times New Roman"/>
          <w:lang w:eastAsia="pt-BR"/>
        </w:rPr>
        <w:t xml:space="preserve">a </w:t>
      </w:r>
      <w:r w:rsidRPr="007E57E4">
        <w:rPr>
          <w:rFonts w:ascii="Calibri" w:eastAsia="Times New Roman" w:hAnsi="Calibri" w:cs="Times New Roman"/>
          <w:lang w:eastAsia="pt-BR"/>
        </w:rPr>
        <w:t>Educação, Cultura, Desporto e Turismo</w:t>
      </w:r>
      <w:r w:rsidRPr="002112F1">
        <w:rPr>
          <w:rFonts w:ascii="Calibri" w:eastAsia="Times New Roman" w:hAnsi="Calibri" w:cs="Times New Roman"/>
          <w:lang w:eastAsia="pt-BR"/>
        </w:rPr>
        <w:t>, previstas no orçamento vigente.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:rsidR="0075603B" w:rsidRPr="002112F1" w:rsidRDefault="0075603B" w:rsidP="0075603B">
      <w:pPr>
        <w:rPr>
          <w:rFonts w:ascii="Arial" w:eastAsia="Times New Roman" w:hAnsi="Arial" w:cs="Times New Roman"/>
          <w:szCs w:val="20"/>
        </w:rPr>
      </w:pP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:rsidR="0075603B" w:rsidRPr="002112F1" w:rsidRDefault="0075603B" w:rsidP="0075603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75603B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75603B" w:rsidRPr="00191141" w:rsidRDefault="0075603B" w:rsidP="0075603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:rsidR="0075603B" w:rsidRPr="002112F1" w:rsidRDefault="0075603B" w:rsidP="0075603B">
      <w:pPr>
        <w:rPr>
          <w:rFonts w:ascii="Arial" w:eastAsia="Times New Roman" w:hAnsi="Arial" w:cs="Times New Roman"/>
          <w:szCs w:val="20"/>
        </w:rPr>
      </w:pP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75603B" w:rsidRPr="002112F1" w:rsidRDefault="0075603B" w:rsidP="0075603B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:rsidR="0075603B" w:rsidRPr="002112F1" w:rsidRDefault="0075603B" w:rsidP="0075603B">
      <w:pPr>
        <w:rPr>
          <w:rFonts w:ascii="Calibri" w:eastAsia="Times New Roman" w:hAnsi="Calibri" w:cs="Times New Roman"/>
        </w:rPr>
      </w:pPr>
    </w:p>
    <w:p w:rsidR="0075603B" w:rsidRPr="002112F1" w:rsidRDefault="0075603B" w:rsidP="0075603B">
      <w:pPr>
        <w:jc w:val="right"/>
        <w:rPr>
          <w:rFonts w:ascii="Calibri" w:eastAsia="Times New Roman" w:hAnsi="Calibri" w:cs="Times New Roman"/>
        </w:rPr>
      </w:pPr>
      <w:r w:rsidRPr="002112F1">
        <w:rPr>
          <w:rFonts w:ascii="Calibri" w:eastAsia="Times New Roman" w:hAnsi="Calibri" w:cs="Times New Roman"/>
        </w:rPr>
        <w:t xml:space="preserve">Santo Antônio das Missões, </w:t>
      </w:r>
      <w:r>
        <w:rPr>
          <w:rFonts w:ascii="Calibri" w:eastAsia="Times New Roman" w:hAnsi="Calibri" w:cs="Times New Roman"/>
        </w:rPr>
        <w:t>21</w:t>
      </w:r>
      <w:r>
        <w:rPr>
          <w:rFonts w:ascii="Calibri" w:eastAsia="Times New Roman" w:hAnsi="Calibri" w:cs="Times New Roman"/>
        </w:rPr>
        <w:t xml:space="preserve"> de </w:t>
      </w:r>
      <w:r>
        <w:rPr>
          <w:rFonts w:ascii="Calibri" w:eastAsia="Times New Roman" w:hAnsi="Calibri" w:cs="Times New Roman"/>
        </w:rPr>
        <w:t xml:space="preserve">agosto </w:t>
      </w:r>
      <w:bookmarkStart w:id="1" w:name="_GoBack"/>
      <w:bookmarkEnd w:id="1"/>
      <w:r w:rsidRPr="002112F1">
        <w:rPr>
          <w:rFonts w:ascii="Calibri" w:eastAsia="Times New Roman" w:hAnsi="Calibri" w:cs="Times New Roman"/>
        </w:rPr>
        <w:t>de 2025.</w:t>
      </w:r>
    </w:p>
    <w:p w:rsidR="0075603B" w:rsidRPr="002112F1" w:rsidRDefault="0075603B" w:rsidP="0075603B">
      <w:pPr>
        <w:jc w:val="right"/>
        <w:rPr>
          <w:rFonts w:ascii="Calibri" w:eastAsia="Times New Roman" w:hAnsi="Calibri" w:cs="Times New Roman"/>
        </w:rPr>
      </w:pPr>
    </w:p>
    <w:p w:rsidR="0075603B" w:rsidRPr="002112F1" w:rsidRDefault="0075603B" w:rsidP="0075603B">
      <w:pPr>
        <w:jc w:val="right"/>
        <w:rPr>
          <w:rFonts w:ascii="Calibri" w:eastAsia="Times New Roman" w:hAnsi="Calibri" w:cs="Times New Roman"/>
        </w:rPr>
      </w:pPr>
    </w:p>
    <w:p w:rsidR="0075603B" w:rsidRPr="002112F1" w:rsidRDefault="0075603B" w:rsidP="0075603B">
      <w:pPr>
        <w:jc w:val="right"/>
        <w:rPr>
          <w:rFonts w:ascii="Calibri" w:eastAsia="Times New Roman" w:hAnsi="Calibri" w:cs="Times New Roman"/>
        </w:rPr>
      </w:pPr>
    </w:p>
    <w:p w:rsidR="0075603B" w:rsidRPr="002112F1" w:rsidRDefault="0075603B" w:rsidP="0075603B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:rsidR="0075603B" w:rsidRPr="007E57E4" w:rsidRDefault="0075603B" w:rsidP="0075603B">
      <w:pPr>
        <w:jc w:val="center"/>
        <w:rPr>
          <w:rFonts w:ascii="Calibri" w:eastAsia="Times New Roman" w:hAnsi="Calibri" w:cs="Times New Roman"/>
        </w:rPr>
      </w:pPr>
      <w:r w:rsidRPr="002112F1">
        <w:rPr>
          <w:rFonts w:ascii="Calibri" w:eastAsia="Times New Roman" w:hAnsi="Calibri" w:cs="Times New Roman"/>
        </w:rPr>
        <w:t>Secretário d</w:t>
      </w:r>
      <w:r>
        <w:rPr>
          <w:rFonts w:ascii="Calibri" w:eastAsia="Times New Roman" w:hAnsi="Calibri" w:cs="Times New Roman"/>
        </w:rPr>
        <w:t xml:space="preserve">a </w:t>
      </w:r>
      <w:r w:rsidRPr="007E57E4">
        <w:t>Educação, Cultura, Desporto e Turismo</w:t>
      </w:r>
    </w:p>
    <w:p w:rsidR="00366BC0" w:rsidRDefault="00366BC0"/>
    <w:sectPr w:rsidR="00366BC0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2F1" w:rsidRPr="002112F1" w:rsidRDefault="0075603B" w:rsidP="002112F1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2112F1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</w:t>
    </w:r>
    <w:r>
      <w:rPr>
        <w:rFonts w:ascii="Calibri" w:eastAsia="Times New Roman" w:hAnsi="Calibri" w:cs="Times New Roman"/>
        <w:sz w:val="16"/>
        <w:szCs w:val="16"/>
      </w:rPr>
      <w:t xml:space="preserve"> Educação</w:t>
    </w:r>
  </w:p>
  <w:p w:rsidR="002112F1" w:rsidRPr="002112F1" w:rsidRDefault="0075603B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2112F1" w:rsidRDefault="0075603B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2F1" w:rsidRPr="002112F1" w:rsidRDefault="0075603B" w:rsidP="002112F1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112F1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32C69F" wp14:editId="76FA89E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F1" w:rsidRDefault="0075603B" w:rsidP="002112F1">
                          <w:pPr>
                            <w:jc w:val="center"/>
                          </w:pPr>
                        </w:p>
                        <w:p w:rsidR="002112F1" w:rsidRDefault="0075603B" w:rsidP="002112F1">
                          <w:pPr>
                            <w:jc w:val="center"/>
                          </w:pPr>
                        </w:p>
                        <w:p w:rsidR="002112F1" w:rsidRPr="007E31E4" w:rsidRDefault="0075603B" w:rsidP="002112F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MUNICIPAL DE SANTO ANTÔNIO DAS MISSÕES</w:t>
                          </w:r>
                        </w:p>
                        <w:p w:rsidR="002112F1" w:rsidRPr="007E31E4" w:rsidRDefault="0075603B" w:rsidP="002112F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112F1" w:rsidRPr="000C2407" w:rsidRDefault="0075603B" w:rsidP="002112F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112F1" w:rsidRDefault="0075603B" w:rsidP="002112F1">
                          <w:pPr>
                            <w:jc w:val="center"/>
                          </w:pPr>
                        </w:p>
                        <w:p w:rsidR="002112F1" w:rsidRDefault="0075603B" w:rsidP="002112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32C69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2112F1" w:rsidRDefault="0075603B" w:rsidP="002112F1">
                    <w:pPr>
                      <w:jc w:val="center"/>
                    </w:pPr>
                  </w:p>
                  <w:p w:rsidR="002112F1" w:rsidRDefault="0075603B" w:rsidP="002112F1">
                    <w:pPr>
                      <w:jc w:val="center"/>
                    </w:pPr>
                  </w:p>
                  <w:p w:rsidR="002112F1" w:rsidRPr="007E31E4" w:rsidRDefault="0075603B" w:rsidP="002112F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MUNICIPAL DE SANTO ANTÔNIO DAS MISSÕES</w:t>
                    </w:r>
                  </w:p>
                  <w:p w:rsidR="002112F1" w:rsidRPr="007E31E4" w:rsidRDefault="0075603B" w:rsidP="002112F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112F1" w:rsidRPr="000C2407" w:rsidRDefault="0075603B" w:rsidP="002112F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112F1" w:rsidRDefault="0075603B" w:rsidP="002112F1">
                    <w:pPr>
                      <w:jc w:val="center"/>
                    </w:pPr>
                  </w:p>
                  <w:p w:rsidR="002112F1" w:rsidRDefault="0075603B" w:rsidP="002112F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112F1">
      <w:rPr>
        <w:rFonts w:ascii="Arial" w:eastAsia="Times New Roman" w:hAnsi="Arial" w:cs="Times New Roman"/>
        <w:szCs w:val="20"/>
      </w:rPr>
      <w:tab/>
    </w:r>
    <w:r w:rsidRPr="002112F1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270285" r:id="rId2"/>
      </w:object>
    </w:r>
  </w:p>
  <w:p w:rsidR="002112F1" w:rsidRPr="002112F1" w:rsidRDefault="0075603B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2112F1" w:rsidRPr="002112F1" w:rsidRDefault="0075603B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2112F1" w:rsidRDefault="007560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4FF"/>
    <w:multiLevelType w:val="hybridMultilevel"/>
    <w:tmpl w:val="265E6D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34D39"/>
    <w:multiLevelType w:val="hybridMultilevel"/>
    <w:tmpl w:val="33489802"/>
    <w:lvl w:ilvl="0" w:tplc="213C4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3B"/>
    <w:rsid w:val="00366BC0"/>
    <w:rsid w:val="0075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620"/>
  <w15:chartTrackingRefBased/>
  <w15:docId w15:val="{C7415F4A-A682-41AF-8ED2-6C5AF10B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03B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6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03B"/>
  </w:style>
  <w:style w:type="paragraph" w:styleId="Rodap">
    <w:name w:val="footer"/>
    <w:basedOn w:val="Normal"/>
    <w:link w:val="RodapChar"/>
    <w:uiPriority w:val="99"/>
    <w:unhideWhenUsed/>
    <w:rsid w:val="007560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03B"/>
  </w:style>
  <w:style w:type="table" w:styleId="Tabelacomgrade">
    <w:name w:val="Table Grid"/>
    <w:basedOn w:val="Tabelanormal"/>
    <w:uiPriority w:val="39"/>
    <w:rsid w:val="0075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60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5603B"/>
    <w:rPr>
      <w:b/>
      <w:bCs/>
    </w:rPr>
  </w:style>
  <w:style w:type="paragraph" w:styleId="PargrafodaLista">
    <w:name w:val="List Paragraph"/>
    <w:basedOn w:val="Normal"/>
    <w:uiPriority w:val="34"/>
    <w:qFormat/>
    <w:rsid w:val="00756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2025-08-21T11:31:00Z</dcterms:created>
  <dcterms:modified xsi:type="dcterms:W3CDTF">2025-08-21T11:32:00Z</dcterms:modified>
</cp:coreProperties>
</file>