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E71" w:rsidRDefault="00870E71" w:rsidP="00870E71">
      <w:pPr>
        <w:pStyle w:val="Corpodetexto"/>
        <w:spacing w:after="0" w:line="360" w:lineRule="auto"/>
        <w:jc w:val="center"/>
        <w:rPr>
          <w:rFonts w:cs="Arial"/>
          <w:sz w:val="24"/>
          <w:szCs w:val="24"/>
        </w:rPr>
      </w:pPr>
      <w:r>
        <w:rPr>
          <w:rFonts w:cs="Arial"/>
          <w:b/>
          <w:bCs/>
          <w:sz w:val="24"/>
          <w:szCs w:val="24"/>
        </w:rPr>
        <w:t>EDITAL DE PREGÃO ELETRÔNICO PARA REGISTRO DE PREÇOS Nº 23/2026</w:t>
      </w:r>
    </w:p>
    <w:p w:rsidR="00870E71" w:rsidRDefault="00870E71" w:rsidP="00870E71">
      <w:pPr>
        <w:spacing w:line="360" w:lineRule="auto"/>
        <w:rPr>
          <w:rFonts w:cs="Arial"/>
          <w:sz w:val="18"/>
          <w:szCs w:val="18"/>
        </w:rPr>
      </w:pPr>
    </w:p>
    <w:p w:rsidR="00870E71" w:rsidRDefault="00870E71" w:rsidP="00870E71">
      <w:pPr>
        <w:spacing w:line="360" w:lineRule="auto"/>
        <w:rPr>
          <w:rFonts w:cs="Arial"/>
          <w:sz w:val="18"/>
          <w:szCs w:val="18"/>
        </w:rPr>
      </w:pPr>
    </w:p>
    <w:p w:rsidR="00870E71" w:rsidRDefault="00870E71" w:rsidP="00870E71">
      <w:pPr>
        <w:spacing w:line="360" w:lineRule="auto"/>
        <w:jc w:val="both"/>
        <w:rPr>
          <w:rFonts w:cs="Arial"/>
          <w:sz w:val="24"/>
          <w:szCs w:val="24"/>
        </w:rPr>
      </w:pPr>
      <w:r>
        <w:rPr>
          <w:rFonts w:cs="Arial"/>
          <w:sz w:val="24"/>
          <w:szCs w:val="24"/>
        </w:rPr>
        <w:t>Município de Santo Antônio das Missões-RS.</w:t>
      </w:r>
    </w:p>
    <w:p w:rsidR="00870E71" w:rsidRDefault="00870E71" w:rsidP="00870E71">
      <w:pPr>
        <w:spacing w:line="360" w:lineRule="auto"/>
        <w:jc w:val="both"/>
        <w:rPr>
          <w:rFonts w:cs="Arial"/>
          <w:sz w:val="24"/>
          <w:szCs w:val="24"/>
        </w:rPr>
      </w:pPr>
      <w:r>
        <w:rPr>
          <w:rFonts w:cs="Arial"/>
          <w:sz w:val="24"/>
          <w:szCs w:val="24"/>
        </w:rPr>
        <w:t>Edital de Pregão Eletrônico para Registro de Preços nº 023/2026</w:t>
      </w:r>
    </w:p>
    <w:p w:rsidR="00870E71" w:rsidRDefault="00870E71" w:rsidP="00870E71">
      <w:pPr>
        <w:spacing w:line="360" w:lineRule="auto"/>
        <w:jc w:val="both"/>
        <w:rPr>
          <w:rFonts w:cs="Arial"/>
          <w:sz w:val="24"/>
          <w:szCs w:val="24"/>
        </w:rPr>
      </w:pPr>
      <w:r>
        <w:rPr>
          <w:rFonts w:cs="Arial"/>
          <w:sz w:val="24"/>
          <w:szCs w:val="24"/>
        </w:rPr>
        <w:t>Tipo de julgamento: menor preço por item</w:t>
      </w:r>
    </w:p>
    <w:p w:rsidR="00870E71" w:rsidRDefault="00870E71" w:rsidP="00870E71">
      <w:pPr>
        <w:spacing w:line="360" w:lineRule="auto"/>
        <w:jc w:val="both"/>
        <w:rPr>
          <w:rFonts w:cs="Arial"/>
          <w:sz w:val="24"/>
          <w:szCs w:val="24"/>
        </w:rPr>
      </w:pPr>
      <w:r>
        <w:rPr>
          <w:rFonts w:cs="Arial"/>
          <w:sz w:val="24"/>
          <w:szCs w:val="24"/>
        </w:rPr>
        <w:t>Modo de disputa: aberto.</w:t>
      </w:r>
    </w:p>
    <w:p w:rsidR="00870E71" w:rsidRDefault="00870E71" w:rsidP="00870E71">
      <w:pPr>
        <w:spacing w:line="360" w:lineRule="auto"/>
        <w:ind w:firstLine="1134"/>
        <w:jc w:val="both"/>
        <w:rPr>
          <w:rFonts w:cs="Arial"/>
          <w:b/>
          <w:bCs/>
          <w:sz w:val="24"/>
          <w:szCs w:val="24"/>
        </w:rPr>
      </w:pPr>
    </w:p>
    <w:p w:rsidR="00870E71" w:rsidRDefault="00870E71" w:rsidP="00870E71">
      <w:pPr>
        <w:spacing w:line="360" w:lineRule="auto"/>
        <w:ind w:firstLine="1134"/>
        <w:jc w:val="both"/>
        <w:rPr>
          <w:rFonts w:cs="Arial"/>
          <w:sz w:val="18"/>
          <w:szCs w:val="18"/>
        </w:rPr>
      </w:pPr>
    </w:p>
    <w:p w:rsidR="00870E71" w:rsidRDefault="00870E71" w:rsidP="00870E71">
      <w:pPr>
        <w:pStyle w:val="Textoembloco1"/>
        <w:spacing w:line="360" w:lineRule="auto"/>
        <w:ind w:left="0" w:firstLine="5"/>
        <w:rPr>
          <w:sz w:val="28"/>
          <w:szCs w:val="28"/>
        </w:rPr>
      </w:pPr>
      <w:r>
        <w:rPr>
          <w:rFonts w:cs="Arial"/>
          <w:spacing w:val="0"/>
          <w:sz w:val="28"/>
          <w:szCs w:val="28"/>
        </w:rPr>
        <w:t xml:space="preserve">Edital de pregão eletrônico para </w:t>
      </w:r>
      <w:r>
        <w:rPr>
          <w:sz w:val="28"/>
          <w:szCs w:val="28"/>
        </w:rPr>
        <w:t>Registro de Preço unitário por item, para futura ( s )  aquisição ( ões ) de Câmara (s ) para conservação de termolábeis.</w:t>
      </w:r>
    </w:p>
    <w:p w:rsidR="00870E71" w:rsidRDefault="00870E71" w:rsidP="00870E71"/>
    <w:p w:rsidR="00870E71" w:rsidRDefault="00870E71" w:rsidP="00870E71">
      <w:pPr>
        <w:spacing w:line="360" w:lineRule="auto"/>
        <w:jc w:val="both"/>
        <w:rPr>
          <w:rFonts w:cs="Arial"/>
          <w:sz w:val="18"/>
          <w:szCs w:val="18"/>
        </w:rPr>
      </w:pPr>
    </w:p>
    <w:p w:rsidR="00870E71" w:rsidRDefault="008D65A6" w:rsidP="00870E71">
      <w:pPr>
        <w:spacing w:line="360" w:lineRule="auto"/>
        <w:jc w:val="both"/>
        <w:rPr>
          <w:rFonts w:cs="Arial"/>
          <w:i/>
          <w:sz w:val="24"/>
          <w:szCs w:val="24"/>
        </w:rPr>
      </w:pPr>
      <w:r>
        <w:rPr>
          <w:rFonts w:cs="Arial"/>
          <w:b/>
          <w:sz w:val="24"/>
          <w:szCs w:val="24"/>
        </w:rPr>
        <w:t>O PREFEITO</w:t>
      </w:r>
      <w:r w:rsidR="00870E71">
        <w:rPr>
          <w:rFonts w:cs="Arial"/>
          <w:b/>
          <w:sz w:val="24"/>
          <w:szCs w:val="24"/>
        </w:rPr>
        <w:t xml:space="preserve"> MUNICIPAL </w:t>
      </w:r>
      <w:bookmarkStart w:id="0" w:name="_GoBack"/>
      <w:bookmarkEnd w:id="0"/>
      <w:r w:rsidR="00870E71">
        <w:rPr>
          <w:rFonts w:cs="Arial"/>
          <w:b/>
          <w:sz w:val="24"/>
          <w:szCs w:val="24"/>
        </w:rPr>
        <w:t>DE SANTO ANTÔNIO DAS MISSÕES-RS</w:t>
      </w:r>
      <w:r w:rsidR="00870E71">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sidR="00870E71">
        <w:rPr>
          <w:i/>
          <w:sz w:val="24"/>
          <w:szCs w:val="24"/>
        </w:rPr>
        <w:t>Registro de Preço unitário por item, para futura ( s )  aquisição ( ões )</w:t>
      </w:r>
      <w:r w:rsidR="00870E71">
        <w:rPr>
          <w:i/>
        </w:rPr>
        <w:t xml:space="preserve">  </w:t>
      </w:r>
      <w:r w:rsidR="00870E71" w:rsidRPr="00870E71">
        <w:rPr>
          <w:b/>
          <w:i/>
          <w:sz w:val="24"/>
          <w:szCs w:val="24"/>
        </w:rPr>
        <w:t>de Câmara (s ) para conservação de termolábeis</w:t>
      </w:r>
      <w:r w:rsidR="00870E71" w:rsidRPr="00870E71">
        <w:rPr>
          <w:rFonts w:cs="Arial"/>
          <w:i/>
          <w:sz w:val="24"/>
          <w:szCs w:val="24"/>
        </w:rPr>
        <w:t>,</w:t>
      </w:r>
      <w:r w:rsidR="00870E71">
        <w:rPr>
          <w:rFonts w:cs="Arial"/>
          <w:sz w:val="24"/>
          <w:szCs w:val="24"/>
        </w:rPr>
        <w:t xml:space="preserve"> conforme descrito nesse edital e seus anexos, e nos termos da Lei Federal nº 14.133, de 1º de abril de 2021, e do Decreto Municipal nº 5452/2023.</w:t>
      </w:r>
    </w:p>
    <w:p w:rsidR="00870E71" w:rsidRDefault="00870E71" w:rsidP="00870E71">
      <w:pPr>
        <w:spacing w:line="360" w:lineRule="auto"/>
        <w:jc w:val="both"/>
        <w:rPr>
          <w:rFonts w:cs="Arial"/>
          <w:sz w:val="18"/>
          <w:szCs w:val="18"/>
        </w:rPr>
      </w:pPr>
    </w:p>
    <w:p w:rsidR="00870E71" w:rsidRDefault="00870E71" w:rsidP="00870E71">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04 de maio de 2026</w:t>
      </w:r>
      <w:r>
        <w:rPr>
          <w:rFonts w:cs="Arial"/>
          <w:bCs/>
          <w:sz w:val="24"/>
          <w:szCs w:val="24"/>
        </w:rPr>
        <w:t>, às 09:30h, podendo as propostas serem enviadas até às 09:00h, sendo que todas as referências de tempo observam o horário de Brasília.</w:t>
      </w:r>
    </w:p>
    <w:p w:rsidR="00870E71" w:rsidRDefault="00870E71" w:rsidP="00870E71">
      <w:pPr>
        <w:spacing w:line="360" w:lineRule="auto"/>
        <w:jc w:val="both"/>
        <w:rPr>
          <w:rFonts w:cs="Arial"/>
          <w:bCs/>
          <w:sz w:val="24"/>
          <w:szCs w:val="24"/>
        </w:rPr>
      </w:pPr>
      <w:r>
        <w:rPr>
          <w:rFonts w:cs="Arial"/>
          <w:bCs/>
          <w:sz w:val="24"/>
          <w:szCs w:val="24"/>
        </w:rPr>
        <w:t>O orçamento da Administração é sigiloso, com fundamento no art. 24 da Lei nº 14.133/2021,  e será tornado público apenas e imediatamente após o encerramento da etapa de lances.</w:t>
      </w:r>
    </w:p>
    <w:p w:rsidR="00870E71" w:rsidRDefault="00870E71" w:rsidP="00870E71">
      <w:pPr>
        <w:spacing w:line="360" w:lineRule="auto"/>
        <w:jc w:val="both"/>
        <w:rPr>
          <w:rFonts w:cs="Arial"/>
          <w:b/>
          <w:sz w:val="24"/>
          <w:szCs w:val="24"/>
        </w:rPr>
      </w:pPr>
    </w:p>
    <w:p w:rsidR="00870E71" w:rsidRDefault="00870E71" w:rsidP="00870E71">
      <w:pPr>
        <w:spacing w:line="360" w:lineRule="auto"/>
        <w:jc w:val="both"/>
        <w:rPr>
          <w:rFonts w:cs="Arial"/>
          <w:sz w:val="24"/>
          <w:szCs w:val="24"/>
        </w:rPr>
      </w:pPr>
      <w:r>
        <w:rPr>
          <w:rFonts w:cs="Arial"/>
          <w:b/>
          <w:sz w:val="24"/>
          <w:szCs w:val="24"/>
        </w:rPr>
        <w:t>1. DO OBJETO:</w:t>
      </w:r>
    </w:p>
    <w:p w:rsidR="00870E71" w:rsidRDefault="00870E71" w:rsidP="00870E71">
      <w:pPr>
        <w:spacing w:line="360" w:lineRule="auto"/>
        <w:jc w:val="both"/>
        <w:rPr>
          <w:rFonts w:cs="Arial"/>
          <w:sz w:val="24"/>
          <w:szCs w:val="24"/>
        </w:rPr>
      </w:pPr>
      <w:r>
        <w:rPr>
          <w:rFonts w:cs="Arial"/>
          <w:sz w:val="24"/>
          <w:szCs w:val="24"/>
        </w:rPr>
        <w:t>1.1 - Constitui objeto da presente licitação o registro de preços unitários</w:t>
      </w:r>
      <w:r>
        <w:rPr>
          <w:rFonts w:cs="Arial"/>
          <w:i/>
          <w:sz w:val="24"/>
          <w:szCs w:val="24"/>
        </w:rPr>
        <w:t xml:space="preserve"> para futuras </w:t>
      </w:r>
      <w:r>
        <w:rPr>
          <w:i/>
          <w:sz w:val="24"/>
          <w:szCs w:val="24"/>
        </w:rPr>
        <w:t>aquisição ( ões )</w:t>
      </w:r>
      <w:r>
        <w:rPr>
          <w:i/>
        </w:rPr>
        <w:t xml:space="preserve">  </w:t>
      </w:r>
      <w:r w:rsidRPr="00870E71">
        <w:rPr>
          <w:b/>
          <w:i/>
          <w:sz w:val="24"/>
          <w:szCs w:val="24"/>
        </w:rPr>
        <w:t>de Câmara (s ) para conservação de termolábeis</w:t>
      </w:r>
      <w:r>
        <w:rPr>
          <w:rFonts w:cs="Arial"/>
          <w:i/>
          <w:sz w:val="24"/>
          <w:szCs w:val="24"/>
        </w:rPr>
        <w:t>,</w:t>
      </w:r>
      <w:r>
        <w:rPr>
          <w:rFonts w:cs="Arial"/>
          <w:sz w:val="24"/>
          <w:szCs w:val="24"/>
        </w:rPr>
        <w:t xml:space="preserve"> cujas descrições e condições de entrega estão detalhadas no Termo de Referência (Anexo I):</w:t>
      </w:r>
    </w:p>
    <w:p w:rsidR="00870E71" w:rsidRDefault="00870E71" w:rsidP="00870E71">
      <w:pPr>
        <w:spacing w:line="360" w:lineRule="auto"/>
        <w:jc w:val="both"/>
        <w:rPr>
          <w:rFonts w:cs="Arial"/>
          <w:sz w:val="24"/>
          <w:szCs w:val="24"/>
        </w:rPr>
      </w:pPr>
    </w:p>
    <w:tbl>
      <w:tblPr>
        <w:tblStyle w:val="Tabelacomgrade"/>
        <w:tblW w:w="8607" w:type="dxa"/>
        <w:tblInd w:w="-113" w:type="dxa"/>
        <w:tblLook w:val="01E0" w:firstRow="1" w:lastRow="1" w:firstColumn="1" w:lastColumn="1" w:noHBand="0" w:noVBand="0"/>
      </w:tblPr>
      <w:tblGrid>
        <w:gridCol w:w="669"/>
        <w:gridCol w:w="1257"/>
        <w:gridCol w:w="3848"/>
        <w:gridCol w:w="1417"/>
        <w:gridCol w:w="1416"/>
      </w:tblGrid>
      <w:tr w:rsidR="00870E71" w:rsidTr="00870E71">
        <w:tc>
          <w:tcPr>
            <w:tcW w:w="669" w:type="dxa"/>
            <w:tcBorders>
              <w:top w:val="single" w:sz="4" w:space="0" w:color="auto"/>
              <w:left w:val="single" w:sz="4" w:space="0" w:color="auto"/>
              <w:bottom w:val="single" w:sz="4" w:space="0" w:color="auto"/>
              <w:right w:val="single" w:sz="4" w:space="0" w:color="auto"/>
            </w:tcBorders>
            <w:hideMark/>
          </w:tcPr>
          <w:p w:rsidR="00870E71" w:rsidRDefault="00870E71">
            <w:pPr>
              <w:rPr>
                <w:bCs/>
              </w:rPr>
            </w:pPr>
            <w:r>
              <w:rPr>
                <w:bCs/>
              </w:rPr>
              <w:t>Item</w:t>
            </w:r>
          </w:p>
        </w:tc>
        <w:tc>
          <w:tcPr>
            <w:tcW w:w="1257" w:type="dxa"/>
            <w:tcBorders>
              <w:top w:val="single" w:sz="4" w:space="0" w:color="auto"/>
              <w:left w:val="single" w:sz="4" w:space="0" w:color="auto"/>
              <w:bottom w:val="single" w:sz="4" w:space="0" w:color="auto"/>
              <w:right w:val="single" w:sz="4" w:space="0" w:color="auto"/>
            </w:tcBorders>
            <w:hideMark/>
          </w:tcPr>
          <w:p w:rsidR="00870E71" w:rsidRDefault="00870E71">
            <w:pPr>
              <w:rPr>
                <w:bCs/>
              </w:rPr>
            </w:pPr>
            <w:r>
              <w:rPr>
                <w:bCs/>
              </w:rPr>
              <w:t>Qtd. Máxima</w:t>
            </w:r>
          </w:p>
        </w:tc>
        <w:tc>
          <w:tcPr>
            <w:tcW w:w="3848" w:type="dxa"/>
            <w:tcBorders>
              <w:top w:val="single" w:sz="4" w:space="0" w:color="auto"/>
              <w:left w:val="single" w:sz="4" w:space="0" w:color="auto"/>
              <w:bottom w:val="single" w:sz="4" w:space="0" w:color="auto"/>
              <w:right w:val="single" w:sz="4" w:space="0" w:color="auto"/>
            </w:tcBorders>
            <w:hideMark/>
          </w:tcPr>
          <w:p w:rsidR="00870E71" w:rsidRDefault="00870E71">
            <w:pPr>
              <w:rPr>
                <w:bCs/>
              </w:rPr>
            </w:pPr>
            <w:r>
              <w:rPr>
                <w:bCs/>
              </w:rPr>
              <w:t>Objeto</w:t>
            </w:r>
          </w:p>
        </w:tc>
        <w:tc>
          <w:tcPr>
            <w:tcW w:w="1417" w:type="dxa"/>
            <w:tcBorders>
              <w:top w:val="single" w:sz="4" w:space="0" w:color="auto"/>
              <w:left w:val="single" w:sz="4" w:space="0" w:color="auto"/>
              <w:bottom w:val="single" w:sz="4" w:space="0" w:color="auto"/>
              <w:right w:val="single" w:sz="4" w:space="0" w:color="auto"/>
            </w:tcBorders>
            <w:hideMark/>
          </w:tcPr>
          <w:p w:rsidR="00870E71" w:rsidRDefault="00870E71">
            <w:pPr>
              <w:rPr>
                <w:bCs/>
              </w:rPr>
            </w:pPr>
            <w:r>
              <w:rPr>
                <w:bCs/>
              </w:rPr>
              <w:t>V. Unit.</w:t>
            </w:r>
          </w:p>
        </w:tc>
        <w:tc>
          <w:tcPr>
            <w:tcW w:w="1416" w:type="dxa"/>
            <w:tcBorders>
              <w:top w:val="single" w:sz="4" w:space="0" w:color="auto"/>
              <w:left w:val="single" w:sz="4" w:space="0" w:color="auto"/>
              <w:bottom w:val="single" w:sz="4" w:space="0" w:color="auto"/>
              <w:right w:val="single" w:sz="4" w:space="0" w:color="auto"/>
            </w:tcBorders>
            <w:hideMark/>
          </w:tcPr>
          <w:p w:rsidR="00870E71" w:rsidRDefault="00870E71">
            <w:pPr>
              <w:rPr>
                <w:bCs/>
              </w:rPr>
            </w:pPr>
            <w:r>
              <w:rPr>
                <w:bCs/>
              </w:rPr>
              <w:t>V. Total</w:t>
            </w:r>
          </w:p>
        </w:tc>
      </w:tr>
      <w:tr w:rsidR="00870E71" w:rsidTr="00870E71">
        <w:tc>
          <w:tcPr>
            <w:tcW w:w="669" w:type="dxa"/>
            <w:tcBorders>
              <w:top w:val="single" w:sz="4" w:space="0" w:color="auto"/>
              <w:left w:val="single" w:sz="4" w:space="0" w:color="auto"/>
              <w:bottom w:val="single" w:sz="4" w:space="0" w:color="auto"/>
              <w:right w:val="single" w:sz="4" w:space="0" w:color="auto"/>
            </w:tcBorders>
            <w:hideMark/>
          </w:tcPr>
          <w:p w:rsidR="00870E71" w:rsidRDefault="00870E71">
            <w:r>
              <w:t>01</w:t>
            </w:r>
          </w:p>
        </w:tc>
        <w:tc>
          <w:tcPr>
            <w:tcW w:w="1257" w:type="dxa"/>
            <w:tcBorders>
              <w:top w:val="single" w:sz="4" w:space="0" w:color="auto"/>
              <w:left w:val="single" w:sz="4" w:space="0" w:color="auto"/>
              <w:bottom w:val="single" w:sz="4" w:space="0" w:color="auto"/>
              <w:right w:val="single" w:sz="4" w:space="0" w:color="auto"/>
            </w:tcBorders>
            <w:hideMark/>
          </w:tcPr>
          <w:p w:rsidR="00870E71" w:rsidRDefault="00870E71">
            <w:r>
              <w:t>02 unid</w:t>
            </w:r>
          </w:p>
        </w:tc>
        <w:tc>
          <w:tcPr>
            <w:tcW w:w="3848" w:type="dxa"/>
            <w:tcBorders>
              <w:top w:val="single" w:sz="4" w:space="0" w:color="auto"/>
              <w:left w:val="single" w:sz="4" w:space="0" w:color="auto"/>
              <w:bottom w:val="single" w:sz="4" w:space="0" w:color="auto"/>
              <w:right w:val="single" w:sz="4" w:space="0" w:color="auto"/>
            </w:tcBorders>
            <w:hideMark/>
          </w:tcPr>
          <w:p w:rsidR="00870E71" w:rsidRDefault="00870E71">
            <w:pPr>
              <w:ind w:left="-76"/>
              <w:jc w:val="both"/>
              <w:rPr>
                <w:b/>
                <w:i/>
                <w:sz w:val="24"/>
                <w:szCs w:val="24"/>
              </w:rPr>
            </w:pPr>
            <w:r>
              <w:rPr>
                <w:b/>
                <w:i/>
                <w:sz w:val="24"/>
                <w:szCs w:val="24"/>
              </w:rPr>
              <w:t>Câmara</w:t>
            </w:r>
            <w:r w:rsidRPr="00870E71">
              <w:rPr>
                <w:b/>
                <w:i/>
                <w:sz w:val="24"/>
                <w:szCs w:val="24"/>
              </w:rPr>
              <w:t xml:space="preserve"> para conservação de termolábeis</w:t>
            </w:r>
            <w:r>
              <w:rPr>
                <w:b/>
                <w:i/>
                <w:sz w:val="24"/>
                <w:szCs w:val="24"/>
              </w:rPr>
              <w:t>, com as seguintes especificações:</w:t>
            </w:r>
          </w:p>
          <w:p w:rsidR="00870E71" w:rsidRPr="00870E71" w:rsidRDefault="00870E71" w:rsidP="00870E71">
            <w:pPr>
              <w:autoSpaceDE w:val="0"/>
              <w:autoSpaceDN w:val="0"/>
              <w:adjustRightInd w:val="0"/>
              <w:jc w:val="both"/>
              <w:rPr>
                <w:rFonts w:ascii="ArialNormal" w:eastAsiaTheme="minorHAnsi" w:hAnsi="ArialNormal" w:cs="ArialNormal"/>
                <w:b/>
                <w:i/>
                <w:color w:val="212529"/>
                <w:szCs w:val="22"/>
              </w:rPr>
            </w:pPr>
            <w:r>
              <w:rPr>
                <w:rFonts w:ascii="ArialNormal" w:eastAsiaTheme="minorHAnsi" w:hAnsi="ArialNormal" w:cs="ArialNormal"/>
                <w:color w:val="212529"/>
                <w:szCs w:val="22"/>
              </w:rPr>
              <w:t xml:space="preserve">- </w:t>
            </w:r>
            <w:r w:rsidRPr="00870E71">
              <w:rPr>
                <w:rFonts w:ascii="ArialNormal" w:eastAsiaTheme="minorHAnsi" w:hAnsi="ArialNormal" w:cs="ArialNormal"/>
                <w:b/>
                <w:i/>
                <w:color w:val="212529"/>
                <w:szCs w:val="22"/>
              </w:rPr>
              <w:t xml:space="preserve">Faixa de operação controlada entre </w:t>
            </w:r>
            <w:r w:rsidRPr="00870E71">
              <w:rPr>
                <w:rFonts w:ascii="ArialNegrito" w:eastAsiaTheme="minorHAnsi" w:hAnsi="ArialNegrito" w:cs="ArialNegrito"/>
                <w:b/>
                <w:i/>
                <w:color w:val="212529"/>
                <w:sz w:val="23"/>
                <w:szCs w:val="23"/>
              </w:rPr>
              <w:t>+2°C e +8°C</w:t>
            </w:r>
            <w:r w:rsidRPr="00870E71">
              <w:rPr>
                <w:rFonts w:ascii="ArialNormal" w:eastAsiaTheme="minorHAnsi" w:hAnsi="ArialNormal" w:cs="ArialNormal"/>
                <w:b/>
                <w:i/>
                <w:color w:val="212529"/>
                <w:szCs w:val="22"/>
              </w:rPr>
              <w:t xml:space="preserve">, com estabilidade térmica adequada ao armazenamento de; Capacidade interna mínima de </w:t>
            </w:r>
            <w:r w:rsidRPr="00870E71">
              <w:rPr>
                <w:rFonts w:ascii="ArialNegrito" w:eastAsiaTheme="minorHAnsi" w:hAnsi="ArialNegrito" w:cs="ArialNegrito"/>
                <w:b/>
                <w:i/>
                <w:color w:val="212529"/>
                <w:sz w:val="23"/>
                <w:szCs w:val="23"/>
              </w:rPr>
              <w:t>120 litros</w:t>
            </w:r>
            <w:r w:rsidRPr="00870E71">
              <w:rPr>
                <w:rFonts w:ascii="ArialNormal" w:eastAsiaTheme="minorHAnsi" w:hAnsi="ArialNormal" w:cs="ArialNormal"/>
                <w:b/>
                <w:i/>
                <w:color w:val="212529"/>
                <w:szCs w:val="22"/>
              </w:rPr>
              <w:t xml:space="preserve">;Gabinete com isolamento térmico eficiente e porta com vidro múltiplo antiembaçante ou tecnologia equivalente; Sistema de controle de temperatura </w:t>
            </w:r>
            <w:r w:rsidRPr="00870E71">
              <w:rPr>
                <w:rFonts w:ascii="ArialNegrito" w:eastAsiaTheme="minorHAnsi" w:hAnsi="ArialNegrito" w:cs="ArialNegrito"/>
                <w:b/>
                <w:i/>
                <w:color w:val="212529"/>
                <w:sz w:val="23"/>
                <w:szCs w:val="23"/>
              </w:rPr>
              <w:t>microprocessado</w:t>
            </w:r>
            <w:r w:rsidRPr="00870E71">
              <w:rPr>
                <w:rFonts w:ascii="ArialNormal" w:eastAsiaTheme="minorHAnsi" w:hAnsi="ArialNormal" w:cs="ArialNormal"/>
                <w:b/>
                <w:i/>
                <w:color w:val="212529"/>
                <w:szCs w:val="22"/>
              </w:rPr>
              <w:t xml:space="preserve">, com indicação digital externa; Exibição simultânea de temperatura </w:t>
            </w:r>
            <w:r w:rsidRPr="00870E71">
              <w:rPr>
                <w:rFonts w:ascii="ArialNegrito" w:eastAsiaTheme="minorHAnsi" w:hAnsi="ArialNegrito" w:cs="ArialNegrito"/>
                <w:b/>
                <w:i/>
                <w:color w:val="212529"/>
                <w:sz w:val="23"/>
                <w:szCs w:val="23"/>
              </w:rPr>
              <w:t>atual, máxima e mínima</w:t>
            </w:r>
            <w:r w:rsidRPr="00870E71">
              <w:rPr>
                <w:rFonts w:ascii="ArialNormal" w:eastAsiaTheme="minorHAnsi" w:hAnsi="ArialNormal" w:cs="ArialNormal"/>
                <w:b/>
                <w:i/>
                <w:color w:val="212529"/>
                <w:szCs w:val="22"/>
              </w:rPr>
              <w:t xml:space="preserve">; Sistema de alarme visual e sonoro para: variação de temperatura fora da faixa; falta de energia elétrica; porta aberta; Sistema de segurança com </w:t>
            </w:r>
            <w:r w:rsidRPr="00870E71">
              <w:rPr>
                <w:rFonts w:ascii="ArialNegrito" w:eastAsiaTheme="minorHAnsi" w:hAnsi="ArialNegrito" w:cs="ArialNegrito"/>
                <w:b/>
                <w:i/>
                <w:color w:val="212529"/>
                <w:sz w:val="23"/>
                <w:szCs w:val="23"/>
              </w:rPr>
              <w:t>bateria interna</w:t>
            </w:r>
            <w:r w:rsidRPr="00870E71">
              <w:rPr>
                <w:rFonts w:ascii="ArialNormal" w:eastAsiaTheme="minorHAnsi" w:hAnsi="ArialNormal" w:cs="ArialNormal"/>
                <w:b/>
                <w:i/>
                <w:color w:val="212529"/>
                <w:szCs w:val="22"/>
              </w:rPr>
              <w:t xml:space="preserve">, garantindo funcionamento dos alarmes e registro de dados por no mínimo </w:t>
            </w:r>
            <w:r w:rsidRPr="00870E71">
              <w:rPr>
                <w:rFonts w:ascii="ArialNegrito" w:eastAsiaTheme="minorHAnsi" w:hAnsi="ArialNegrito" w:cs="ArialNegrito"/>
                <w:b/>
                <w:i/>
                <w:color w:val="212529"/>
                <w:sz w:val="23"/>
                <w:szCs w:val="23"/>
              </w:rPr>
              <w:t>12</w:t>
            </w:r>
            <w:r>
              <w:rPr>
                <w:rFonts w:ascii="ArialNegrito" w:eastAsiaTheme="minorHAnsi" w:hAnsi="ArialNegrito" w:cs="ArialNegrito"/>
                <w:color w:val="212529"/>
                <w:sz w:val="23"/>
                <w:szCs w:val="23"/>
              </w:rPr>
              <w:t xml:space="preserve"> </w:t>
            </w:r>
            <w:r w:rsidRPr="00870E71">
              <w:rPr>
                <w:rFonts w:ascii="ArialNegrito" w:eastAsiaTheme="minorHAnsi" w:hAnsi="ArialNegrito" w:cs="ArialNegrito"/>
                <w:b/>
                <w:i/>
                <w:color w:val="212529"/>
                <w:sz w:val="23"/>
                <w:szCs w:val="23"/>
              </w:rPr>
              <w:t xml:space="preserve">horas </w:t>
            </w:r>
            <w:r w:rsidRPr="00870E71">
              <w:rPr>
                <w:rFonts w:ascii="ArialNormal" w:eastAsiaTheme="minorHAnsi" w:hAnsi="ArialNormal" w:cs="ArialNormal"/>
                <w:b/>
                <w:i/>
                <w:color w:val="212529"/>
                <w:szCs w:val="22"/>
              </w:rPr>
              <w:t xml:space="preserve">em caso de falta de energia; Sistema de registro de temperatura (data logger), com possibilidade de exportação de dados (via USB ou tecnologia equivalente); Controle de acesso aos parâmetros por senha; Sistema de monitoramento e proteção contra variações de </w:t>
            </w:r>
            <w:r w:rsidRPr="00870E71">
              <w:rPr>
                <w:rFonts w:ascii="ArialNormal" w:eastAsiaTheme="minorHAnsi" w:hAnsi="ArialNormal" w:cs="ArialNormal"/>
                <w:b/>
                <w:i/>
                <w:color w:val="212529"/>
                <w:szCs w:val="22"/>
              </w:rPr>
              <w:lastRenderedPageBreak/>
              <w:t>tensão elétrica; Compartimento interno com prateleiras e/ou gavetas em material resistente à corrosão (ex: aço inox ou equivalente); Alimentação elétrica bivolt (127/220V) ou conforme padrão local; Equipamento fornecido com certificado de calibração rastreável; Estrutura interna resistente; Conformidade com normas da ANVISA e boas práticas de armazenamento de termolábeis;</w:t>
            </w:r>
          </w:p>
          <w:p w:rsidR="00870E71" w:rsidRPr="00870E71" w:rsidRDefault="00870E71" w:rsidP="00870E71">
            <w:pPr>
              <w:autoSpaceDE w:val="0"/>
              <w:autoSpaceDN w:val="0"/>
              <w:adjustRightInd w:val="0"/>
              <w:jc w:val="both"/>
              <w:rPr>
                <w:rFonts w:ascii="ArialNormal" w:eastAsiaTheme="minorHAnsi" w:hAnsi="ArialNormal" w:cs="ArialNormal"/>
                <w:b/>
                <w:i/>
                <w:color w:val="212529"/>
                <w:szCs w:val="22"/>
              </w:rPr>
            </w:pPr>
          </w:p>
          <w:p w:rsidR="00870E71" w:rsidRPr="00870E71" w:rsidRDefault="00870E71" w:rsidP="00870E71">
            <w:pPr>
              <w:autoSpaceDE w:val="0"/>
              <w:autoSpaceDN w:val="0"/>
              <w:adjustRightInd w:val="0"/>
              <w:jc w:val="both"/>
              <w:rPr>
                <w:b/>
                <w:i/>
              </w:rPr>
            </w:pPr>
            <w:r w:rsidRPr="00870E71">
              <w:rPr>
                <w:rFonts w:ascii="ArialNormal" w:eastAsiaTheme="minorHAnsi" w:hAnsi="ArialNormal" w:cs="ArialNormal"/>
                <w:b/>
                <w:i/>
                <w:color w:val="212529"/>
                <w:szCs w:val="22"/>
              </w:rPr>
              <w:t xml:space="preserve">Garantia mínima de </w:t>
            </w:r>
            <w:r w:rsidRPr="00870E71">
              <w:rPr>
                <w:rFonts w:ascii="ArialNegrito" w:eastAsiaTheme="minorHAnsi" w:hAnsi="ArialNegrito" w:cs="ArialNegrito"/>
                <w:b/>
                <w:i/>
                <w:color w:val="212529"/>
                <w:sz w:val="23"/>
                <w:szCs w:val="23"/>
              </w:rPr>
              <w:t xml:space="preserve">12 meses </w:t>
            </w:r>
            <w:r w:rsidRPr="00870E71">
              <w:rPr>
                <w:rFonts w:ascii="ArialNormal" w:eastAsiaTheme="minorHAnsi" w:hAnsi="ArialNormal" w:cs="ArialNormal"/>
                <w:b/>
                <w:i/>
                <w:color w:val="212529"/>
                <w:szCs w:val="22"/>
              </w:rPr>
              <w:t>após o aceite definitivo.</w:t>
            </w:r>
            <w:r w:rsidRPr="00870E71">
              <w:rPr>
                <w:b/>
                <w:i/>
              </w:rPr>
              <w:t>.</w:t>
            </w:r>
          </w:p>
          <w:p w:rsidR="00870E71" w:rsidRPr="00870E71" w:rsidRDefault="00870E71" w:rsidP="00870E71">
            <w:pPr>
              <w:autoSpaceDE w:val="0"/>
              <w:autoSpaceDN w:val="0"/>
              <w:adjustRightInd w:val="0"/>
              <w:jc w:val="both"/>
              <w:rPr>
                <w:rFonts w:ascii="ArialNormal" w:eastAsiaTheme="minorHAnsi" w:hAnsi="ArialNormal" w:cs="ArialNormal"/>
                <w:color w:val="212529"/>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870E71" w:rsidRDefault="00870E71"/>
        </w:tc>
        <w:tc>
          <w:tcPr>
            <w:tcW w:w="1416" w:type="dxa"/>
            <w:tcBorders>
              <w:top w:val="single" w:sz="4" w:space="0" w:color="auto"/>
              <w:left w:val="single" w:sz="4" w:space="0" w:color="auto"/>
              <w:bottom w:val="single" w:sz="4" w:space="0" w:color="auto"/>
              <w:right w:val="single" w:sz="4" w:space="0" w:color="auto"/>
            </w:tcBorders>
          </w:tcPr>
          <w:p w:rsidR="00870E71" w:rsidRDefault="00870E71"/>
        </w:tc>
      </w:tr>
    </w:tbl>
    <w:p w:rsidR="00870E71" w:rsidRDefault="00870E71" w:rsidP="00870E71">
      <w:pPr>
        <w:pStyle w:val="Recuodecorpodetexto"/>
        <w:spacing w:before="0"/>
        <w:ind w:firstLine="0"/>
        <w:rPr>
          <w:rFonts w:cs="Arial"/>
          <w:sz w:val="24"/>
          <w:szCs w:val="24"/>
        </w:rPr>
      </w:pPr>
    </w:p>
    <w:p w:rsidR="00870E71" w:rsidRDefault="00870E71" w:rsidP="00870E71">
      <w:pPr>
        <w:spacing w:line="360" w:lineRule="auto"/>
        <w:jc w:val="both"/>
        <w:rPr>
          <w:rFonts w:cs="Arial"/>
          <w:sz w:val="24"/>
          <w:szCs w:val="24"/>
        </w:rPr>
      </w:pPr>
      <w:r>
        <w:rPr>
          <w:rFonts w:cs="Arial"/>
          <w:sz w:val="24"/>
          <w:szCs w:val="24"/>
        </w:rPr>
        <w:t>1.2 - A entrega dos produtos deverão ser feitas no seguinte endereço: Avenida Prefeito José Nunes e Abreu, nº 6.000, centro, Santo A</w:t>
      </w:r>
      <w:r w:rsidR="005345C2">
        <w:rPr>
          <w:rFonts w:cs="Arial"/>
          <w:sz w:val="24"/>
          <w:szCs w:val="24"/>
        </w:rPr>
        <w:t>ntônio das Missões-RS, em até 30</w:t>
      </w:r>
      <w:r>
        <w:rPr>
          <w:rFonts w:cs="Arial"/>
          <w:sz w:val="24"/>
          <w:szCs w:val="24"/>
        </w:rPr>
        <w:t xml:space="preserve"> ( </w:t>
      </w:r>
      <w:r w:rsidR="005345C2">
        <w:rPr>
          <w:rFonts w:cs="Arial"/>
          <w:sz w:val="24"/>
          <w:szCs w:val="24"/>
        </w:rPr>
        <w:t>trinta</w:t>
      </w:r>
      <w:r>
        <w:rPr>
          <w:rFonts w:cs="Arial"/>
          <w:sz w:val="24"/>
          <w:szCs w:val="24"/>
        </w:rPr>
        <w:t xml:space="preserve"> ) dias úteis da ordem de fornecimento, em horário de expediente, devendo comunicar-se previamente com o fiscal da ata de registro de preços e/ou contrato, para que esse acompanhe a entrega.</w:t>
      </w:r>
    </w:p>
    <w:p w:rsidR="00870E71" w:rsidRDefault="00870E71" w:rsidP="00870E71">
      <w:pPr>
        <w:spacing w:line="360" w:lineRule="auto"/>
        <w:jc w:val="both"/>
        <w:rPr>
          <w:rFonts w:cs="Arial"/>
          <w:sz w:val="24"/>
          <w:szCs w:val="24"/>
        </w:rPr>
      </w:pPr>
    </w:p>
    <w:p w:rsidR="00870E71" w:rsidRDefault="00870E71" w:rsidP="00870E71">
      <w:pPr>
        <w:spacing w:line="360" w:lineRule="auto"/>
        <w:jc w:val="both"/>
        <w:rPr>
          <w:rFonts w:cs="Arial"/>
          <w:b/>
          <w:sz w:val="24"/>
          <w:szCs w:val="24"/>
        </w:rPr>
      </w:pPr>
      <w:r>
        <w:rPr>
          <w:rFonts w:cs="Arial"/>
          <w:b/>
          <w:sz w:val="24"/>
          <w:szCs w:val="24"/>
        </w:rPr>
        <w:t>2. CREDENCIAMENTO E PARTICIPAÇÃO DO CERTAME</w:t>
      </w:r>
    </w:p>
    <w:p w:rsidR="00870E71" w:rsidRDefault="00870E71" w:rsidP="00870E71">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870E71" w:rsidRDefault="00870E71" w:rsidP="00870E71">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870E71" w:rsidRDefault="00870E71" w:rsidP="00870E71">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870E71" w:rsidRDefault="00870E71" w:rsidP="00870E71">
      <w:pPr>
        <w:spacing w:line="360" w:lineRule="auto"/>
        <w:jc w:val="both"/>
        <w:rPr>
          <w:rFonts w:cs="Arial"/>
          <w:sz w:val="24"/>
          <w:szCs w:val="24"/>
        </w:rPr>
      </w:pPr>
      <w:r>
        <w:rPr>
          <w:rFonts w:cs="Arial"/>
          <w:b/>
          <w:bCs/>
          <w:sz w:val="24"/>
          <w:szCs w:val="24"/>
        </w:rPr>
        <w:lastRenderedPageBreak/>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870E71" w:rsidRDefault="00870E71" w:rsidP="00870E71">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870E71" w:rsidRDefault="00870E71" w:rsidP="00870E71">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870E71" w:rsidRDefault="00870E71" w:rsidP="00870E71">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870E71" w:rsidRDefault="00870E71" w:rsidP="00870E71">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870E71" w:rsidRDefault="00870E71" w:rsidP="00870E71">
      <w:pPr>
        <w:spacing w:line="360" w:lineRule="auto"/>
        <w:jc w:val="both"/>
        <w:rPr>
          <w:rFonts w:cs="Arial"/>
          <w:sz w:val="24"/>
          <w:szCs w:val="24"/>
        </w:rPr>
      </w:pPr>
    </w:p>
    <w:p w:rsidR="00870E71" w:rsidRDefault="00870E71" w:rsidP="00870E71">
      <w:pPr>
        <w:spacing w:line="360" w:lineRule="auto"/>
        <w:jc w:val="both"/>
        <w:rPr>
          <w:rFonts w:cs="Arial"/>
          <w:b/>
          <w:sz w:val="24"/>
          <w:szCs w:val="24"/>
        </w:rPr>
      </w:pPr>
      <w:r>
        <w:rPr>
          <w:rFonts w:cs="Arial"/>
          <w:b/>
          <w:sz w:val="24"/>
          <w:szCs w:val="24"/>
        </w:rPr>
        <w:t>3. ENVIO DAS PROPOSTAS</w:t>
      </w:r>
    </w:p>
    <w:p w:rsidR="00870E71" w:rsidRDefault="00870E71" w:rsidP="00870E71">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870E71" w:rsidRDefault="00870E71" w:rsidP="00870E71">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870E71" w:rsidRDefault="00870E71" w:rsidP="00870E71">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870E71" w:rsidRDefault="00870E71" w:rsidP="00870E71">
      <w:pPr>
        <w:pStyle w:val="Default"/>
        <w:spacing w:line="360" w:lineRule="auto"/>
        <w:jc w:val="both"/>
        <w:rPr>
          <w:b/>
          <w:bCs/>
          <w:color w:val="auto"/>
        </w:rPr>
      </w:pPr>
      <w:r>
        <w:rPr>
          <w:b/>
          <w:color w:val="auto"/>
        </w:rPr>
        <w:lastRenderedPageBreak/>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870E71" w:rsidRDefault="00870E71" w:rsidP="00870E71">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14 de dezembro de 2006. </w:t>
      </w:r>
    </w:p>
    <w:p w:rsidR="00870E71" w:rsidRDefault="00870E71" w:rsidP="00870E71">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870E71" w:rsidRDefault="00870E71" w:rsidP="00870E71">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r>
        <w:rPr>
          <w:rStyle w:val="Refdenotaderodap"/>
          <w:color w:val="auto"/>
        </w:rPr>
        <w:footnoteReference w:id="2"/>
      </w:r>
      <w:r>
        <w:rPr>
          <w:color w:val="auto"/>
        </w:rPr>
        <w:t>.</w:t>
      </w:r>
    </w:p>
    <w:p w:rsidR="00870E71" w:rsidRDefault="00870E71" w:rsidP="00870E71">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870E71" w:rsidRDefault="00870E71" w:rsidP="00870E71">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870E71" w:rsidRDefault="00870E71" w:rsidP="00870E71">
      <w:pPr>
        <w:spacing w:line="360" w:lineRule="auto"/>
        <w:jc w:val="both"/>
        <w:rPr>
          <w:rFonts w:cs="Arial"/>
          <w:b/>
          <w:sz w:val="24"/>
          <w:szCs w:val="24"/>
        </w:rPr>
      </w:pPr>
    </w:p>
    <w:p w:rsidR="00870E71" w:rsidRDefault="00870E71" w:rsidP="00870E71">
      <w:pPr>
        <w:spacing w:line="360" w:lineRule="auto"/>
        <w:jc w:val="both"/>
        <w:rPr>
          <w:rFonts w:cs="Arial"/>
          <w:b/>
          <w:sz w:val="24"/>
          <w:szCs w:val="24"/>
        </w:rPr>
      </w:pPr>
    </w:p>
    <w:p w:rsidR="00870E71" w:rsidRDefault="00870E71" w:rsidP="00870E71">
      <w:pPr>
        <w:spacing w:line="360" w:lineRule="auto"/>
        <w:jc w:val="both"/>
        <w:rPr>
          <w:rFonts w:cs="Arial"/>
          <w:b/>
          <w:sz w:val="24"/>
          <w:szCs w:val="24"/>
        </w:rPr>
      </w:pPr>
      <w:r>
        <w:rPr>
          <w:rFonts w:cs="Arial"/>
          <w:b/>
          <w:sz w:val="24"/>
          <w:szCs w:val="24"/>
        </w:rPr>
        <w:lastRenderedPageBreak/>
        <w:t>4. PROPOSTA</w:t>
      </w:r>
    </w:p>
    <w:p w:rsidR="00870E71" w:rsidRDefault="00870E71" w:rsidP="00870E71">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 sessenta ) dias úteis, a contar da data de abertura da sessão do pregão, estabelecida no preâmbulo desse edital.</w:t>
      </w:r>
    </w:p>
    <w:p w:rsidR="00870E71" w:rsidRDefault="00870E71" w:rsidP="00870E71">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870E71" w:rsidRDefault="00870E71" w:rsidP="00870E71">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870E71" w:rsidRDefault="00870E71" w:rsidP="00870E71">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870E71" w:rsidRDefault="00870E71" w:rsidP="00870E71">
      <w:pPr>
        <w:spacing w:line="360" w:lineRule="auto"/>
        <w:jc w:val="both"/>
        <w:rPr>
          <w:rFonts w:cs="Arial"/>
          <w:bCs/>
          <w:sz w:val="24"/>
          <w:szCs w:val="24"/>
        </w:rPr>
      </w:pPr>
    </w:p>
    <w:p w:rsidR="00870E71" w:rsidRDefault="00870E71" w:rsidP="00870E71">
      <w:pPr>
        <w:spacing w:line="360" w:lineRule="auto"/>
        <w:jc w:val="both"/>
        <w:rPr>
          <w:rFonts w:cs="Arial"/>
          <w:b/>
          <w:sz w:val="24"/>
          <w:szCs w:val="24"/>
        </w:rPr>
      </w:pPr>
      <w:r>
        <w:rPr>
          <w:rFonts w:cs="Arial"/>
          <w:b/>
          <w:sz w:val="24"/>
          <w:szCs w:val="24"/>
        </w:rPr>
        <w:t>5. DOCUMENTOS DE HABILITAÇÃO</w:t>
      </w:r>
    </w:p>
    <w:p w:rsidR="00870E71" w:rsidRDefault="00870E71" w:rsidP="00870E71">
      <w:pPr>
        <w:tabs>
          <w:tab w:val="left" w:pos="1134"/>
        </w:tabs>
        <w:spacing w:line="360" w:lineRule="auto"/>
        <w:jc w:val="both"/>
        <w:rPr>
          <w:rFonts w:cs="Arial"/>
          <w:sz w:val="24"/>
          <w:szCs w:val="24"/>
        </w:rPr>
      </w:pPr>
      <w:r>
        <w:rPr>
          <w:rFonts w:cs="Arial"/>
          <w:sz w:val="24"/>
          <w:szCs w:val="24"/>
        </w:rPr>
        <w:t>Para fins de habilitação neste pregão, a licitante vencedora deverá enviar os seguintes documentos, em até 03 ( três ) dias, quando solicitado pelo pregoeiro:</w:t>
      </w:r>
    </w:p>
    <w:p w:rsidR="00870E71" w:rsidRDefault="00870E71" w:rsidP="00870E71">
      <w:pPr>
        <w:tabs>
          <w:tab w:val="left" w:pos="1134"/>
        </w:tabs>
        <w:spacing w:line="360" w:lineRule="auto"/>
        <w:jc w:val="both"/>
        <w:rPr>
          <w:rFonts w:cs="Arial"/>
          <w:sz w:val="24"/>
          <w:szCs w:val="24"/>
        </w:rPr>
      </w:pPr>
    </w:p>
    <w:p w:rsidR="00870E71" w:rsidRDefault="00870E71" w:rsidP="00870E71">
      <w:pPr>
        <w:tabs>
          <w:tab w:val="left" w:pos="1134"/>
        </w:tabs>
        <w:spacing w:line="360" w:lineRule="auto"/>
        <w:jc w:val="both"/>
        <w:rPr>
          <w:rFonts w:cs="Arial"/>
          <w:b/>
          <w:sz w:val="24"/>
          <w:szCs w:val="24"/>
        </w:rPr>
      </w:pPr>
      <w:r>
        <w:rPr>
          <w:rFonts w:cs="Arial"/>
          <w:b/>
          <w:sz w:val="24"/>
          <w:szCs w:val="24"/>
        </w:rPr>
        <w:t>5.1. HABILITAÇÃO JURÍDICA</w:t>
      </w:r>
    </w:p>
    <w:p w:rsidR="00870E71" w:rsidRDefault="00870E71" w:rsidP="00870E71">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870E71" w:rsidRDefault="00870E71" w:rsidP="00870E71">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870E71" w:rsidRDefault="00870E71" w:rsidP="00870E71">
      <w:pPr>
        <w:pStyle w:val="NormalWeb"/>
        <w:spacing w:before="0" w:beforeAutospacing="0" w:after="0" w:afterAutospacing="0" w:line="360" w:lineRule="auto"/>
        <w:jc w:val="both"/>
        <w:rPr>
          <w:rFonts w:ascii="Arial" w:hAnsi="Arial" w:cs="Arial"/>
        </w:rPr>
      </w:pPr>
      <w:r>
        <w:rPr>
          <w:rFonts w:ascii="Arial" w:hAnsi="Arial" w:cs="Arial"/>
          <w:b/>
        </w:rPr>
        <w:lastRenderedPageBreak/>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870E71" w:rsidRDefault="00870E71" w:rsidP="00870E71">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870E71" w:rsidRDefault="00870E71" w:rsidP="00870E71">
      <w:pPr>
        <w:tabs>
          <w:tab w:val="left" w:pos="1134"/>
        </w:tabs>
        <w:spacing w:line="360" w:lineRule="auto"/>
        <w:jc w:val="both"/>
        <w:rPr>
          <w:rFonts w:cs="Arial"/>
          <w:b/>
          <w:sz w:val="24"/>
          <w:szCs w:val="24"/>
        </w:rPr>
      </w:pPr>
    </w:p>
    <w:p w:rsidR="00870E71" w:rsidRDefault="00870E71" w:rsidP="00870E71">
      <w:pPr>
        <w:tabs>
          <w:tab w:val="left" w:pos="1134"/>
        </w:tabs>
        <w:spacing w:line="360" w:lineRule="auto"/>
        <w:jc w:val="both"/>
        <w:rPr>
          <w:rFonts w:cs="Arial"/>
          <w:b/>
          <w:sz w:val="24"/>
          <w:szCs w:val="24"/>
        </w:rPr>
      </w:pPr>
      <w:r>
        <w:rPr>
          <w:rFonts w:cs="Arial"/>
          <w:b/>
          <w:sz w:val="24"/>
          <w:szCs w:val="24"/>
        </w:rPr>
        <w:t>5.2. HABILITAÇÃO FISCAL, SOCIAL E TRABALHISTA</w:t>
      </w:r>
    </w:p>
    <w:p w:rsidR="00870E71" w:rsidRDefault="00870E71" w:rsidP="00870E71">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870E71" w:rsidRDefault="00870E71" w:rsidP="00870E71">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 e </w:t>
      </w:r>
    </w:p>
    <w:p w:rsidR="00870E71" w:rsidRDefault="00870E71" w:rsidP="00870E71">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Débitos com o Município de Santo Antônio das Missões-RS, nos termos do art. 193 do Código Tributário Nacional, ou outra equivalente, na forma da lei;</w:t>
      </w:r>
    </w:p>
    <w:p w:rsidR="00870E71" w:rsidRDefault="00870E71" w:rsidP="00870E71">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870E71" w:rsidRDefault="00870E71" w:rsidP="00870E71">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Pr>
          <w:rFonts w:ascii="Arial" w:hAnsi="Arial" w:cs="Arial"/>
        </w:rPr>
        <w:t xml:space="preserve"> prova de regularidade perante a Justiça do Trabalho</w:t>
      </w:r>
      <w:bookmarkStart w:id="6" w:name="art68vi"/>
      <w:bookmarkEnd w:id="6"/>
      <w:r>
        <w:rPr>
          <w:rFonts w:ascii="Arial" w:hAnsi="Arial" w:cs="Arial"/>
        </w:rPr>
        <w:t>.</w:t>
      </w:r>
    </w:p>
    <w:p w:rsidR="00870E71" w:rsidRDefault="00870E71" w:rsidP="00870E71">
      <w:pPr>
        <w:pStyle w:val="NormalWeb"/>
        <w:spacing w:before="0" w:beforeAutospacing="0" w:after="0" w:afterAutospacing="0" w:line="360" w:lineRule="auto"/>
        <w:jc w:val="both"/>
        <w:rPr>
          <w:rFonts w:ascii="Arial" w:hAnsi="Arial" w:cs="Arial"/>
        </w:rPr>
      </w:pPr>
    </w:p>
    <w:p w:rsidR="00870E71" w:rsidRDefault="00870E71" w:rsidP="00870E71">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870E71" w:rsidRDefault="00870E71" w:rsidP="00870E71">
      <w:pPr>
        <w:spacing w:line="360" w:lineRule="auto"/>
        <w:jc w:val="both"/>
        <w:rPr>
          <w:rFonts w:cs="Arial"/>
          <w:b/>
          <w:sz w:val="24"/>
          <w:szCs w:val="24"/>
        </w:rPr>
      </w:pPr>
      <w:bookmarkStart w:id="8"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8"/>
    <w:p w:rsidR="00870E71" w:rsidRDefault="00870E71" w:rsidP="00870E71">
      <w:pPr>
        <w:pStyle w:val="Default"/>
        <w:spacing w:line="360" w:lineRule="auto"/>
        <w:jc w:val="both"/>
        <w:rPr>
          <w:b/>
          <w:bCs/>
          <w:color w:val="FF0000"/>
        </w:rPr>
      </w:pPr>
    </w:p>
    <w:p w:rsidR="00870E71" w:rsidRDefault="00870E71" w:rsidP="00870E71">
      <w:pPr>
        <w:spacing w:line="360" w:lineRule="auto"/>
        <w:jc w:val="both"/>
        <w:rPr>
          <w:rFonts w:cs="Arial"/>
          <w:b/>
          <w:sz w:val="24"/>
          <w:szCs w:val="24"/>
        </w:rPr>
      </w:pPr>
      <w:r>
        <w:rPr>
          <w:rFonts w:cs="Arial"/>
          <w:b/>
          <w:sz w:val="24"/>
          <w:szCs w:val="24"/>
        </w:rPr>
        <w:t>6. VEDAÇÕES</w:t>
      </w:r>
    </w:p>
    <w:p w:rsidR="00870E71" w:rsidRDefault="00870E71" w:rsidP="00870E71">
      <w:pPr>
        <w:spacing w:line="360" w:lineRule="auto"/>
        <w:jc w:val="both"/>
        <w:rPr>
          <w:rFonts w:cs="Arial"/>
          <w:sz w:val="24"/>
          <w:szCs w:val="24"/>
        </w:rPr>
      </w:pPr>
      <w:r>
        <w:rPr>
          <w:rFonts w:cs="Arial"/>
          <w:b/>
          <w:sz w:val="24"/>
          <w:szCs w:val="24"/>
        </w:rPr>
        <w:t xml:space="preserve">6.1 </w:t>
      </w:r>
      <w:r>
        <w:rPr>
          <w:rFonts w:cs="Arial"/>
          <w:sz w:val="24"/>
          <w:szCs w:val="24"/>
        </w:rPr>
        <w:t>Não poderão disputar licitação ou participar da execução da ata de registro de preços e/ou contrato, direta ou indiretamente:</w:t>
      </w:r>
    </w:p>
    <w:p w:rsidR="00870E71" w:rsidRDefault="00870E71" w:rsidP="00870E71">
      <w:pPr>
        <w:spacing w:line="360" w:lineRule="auto"/>
        <w:jc w:val="both"/>
        <w:rPr>
          <w:rFonts w:cs="Arial"/>
          <w:sz w:val="24"/>
          <w:szCs w:val="24"/>
        </w:rPr>
      </w:pPr>
      <w:r>
        <w:rPr>
          <w:rFonts w:cs="Arial"/>
          <w:b/>
          <w:bCs/>
          <w:sz w:val="24"/>
          <w:szCs w:val="24"/>
        </w:rPr>
        <w:lastRenderedPageBreak/>
        <w:t>a)</w:t>
      </w:r>
      <w:r>
        <w:rPr>
          <w:rFonts w:cs="Arial"/>
          <w:sz w:val="24"/>
          <w:szCs w:val="24"/>
        </w:rPr>
        <w:t xml:space="preserve"> pessoa física ou jurídica que se encontre, ao tempo da licitação, impossibilitada de participar da licitação em decorrência de sanção que lhe foi imposta;</w:t>
      </w:r>
    </w:p>
    <w:p w:rsidR="00870E71" w:rsidRDefault="00870E71" w:rsidP="00870E71">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870E71" w:rsidRDefault="00870E71" w:rsidP="00870E71">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870E71" w:rsidRDefault="00870E71" w:rsidP="00870E71">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870E71" w:rsidRDefault="00870E71" w:rsidP="00870E71">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870E71" w:rsidRDefault="00870E71" w:rsidP="00870E71">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870E71" w:rsidRDefault="00870E71" w:rsidP="00870E71">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w:t>
      </w:r>
      <w:r>
        <w:rPr>
          <w:rFonts w:cs="Arial"/>
          <w:sz w:val="24"/>
          <w:szCs w:val="24"/>
        </w:rPr>
        <w:lastRenderedPageBreak/>
        <w:t>público que desempenhe função na licitação ou atue na fiscalização ou na gestão da ata de registro de preços e/ou contrato</w:t>
      </w:r>
      <w:r>
        <w:rPr>
          <w:rStyle w:val="Refdenotaderodap"/>
          <w:rFonts w:cs="Arial"/>
          <w:sz w:val="24"/>
          <w:szCs w:val="24"/>
        </w:rPr>
        <w:footnoteReference w:id="3"/>
      </w:r>
      <w:r>
        <w:rPr>
          <w:rFonts w:cs="Arial"/>
          <w:sz w:val="24"/>
          <w:szCs w:val="24"/>
        </w:rPr>
        <w:t>.</w:t>
      </w:r>
    </w:p>
    <w:p w:rsidR="00870E71" w:rsidRDefault="00870E71" w:rsidP="00870E71">
      <w:pPr>
        <w:tabs>
          <w:tab w:val="left" w:pos="1134"/>
        </w:tabs>
        <w:spacing w:line="360" w:lineRule="auto"/>
        <w:jc w:val="both"/>
        <w:rPr>
          <w:rFonts w:cs="Arial"/>
          <w:sz w:val="24"/>
          <w:szCs w:val="24"/>
        </w:rPr>
      </w:pPr>
    </w:p>
    <w:p w:rsidR="00870E71" w:rsidRDefault="00870E71" w:rsidP="00870E71">
      <w:pPr>
        <w:spacing w:line="360" w:lineRule="auto"/>
        <w:jc w:val="both"/>
        <w:rPr>
          <w:rFonts w:cs="Arial"/>
          <w:b/>
          <w:sz w:val="24"/>
          <w:szCs w:val="24"/>
        </w:rPr>
      </w:pPr>
      <w:r>
        <w:rPr>
          <w:rFonts w:cs="Arial"/>
          <w:b/>
          <w:sz w:val="24"/>
          <w:szCs w:val="24"/>
        </w:rPr>
        <w:t>7. ABERTURA DA SESSÃO PÚBLICA</w:t>
      </w:r>
    </w:p>
    <w:p w:rsidR="00870E71" w:rsidRDefault="00870E71" w:rsidP="00870E71">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870E71" w:rsidRDefault="00870E71" w:rsidP="00870E71">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870E71" w:rsidRDefault="00870E71" w:rsidP="00870E71">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870E71" w:rsidRDefault="00870E71" w:rsidP="00870E71">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870E71" w:rsidRDefault="00870E71" w:rsidP="00870E71">
      <w:pPr>
        <w:tabs>
          <w:tab w:val="left" w:pos="1134"/>
        </w:tabs>
        <w:spacing w:line="360" w:lineRule="auto"/>
        <w:jc w:val="both"/>
        <w:rPr>
          <w:rFonts w:cs="Arial"/>
          <w:bCs/>
          <w:sz w:val="24"/>
          <w:szCs w:val="24"/>
        </w:rPr>
      </w:pPr>
    </w:p>
    <w:p w:rsidR="00870E71" w:rsidRDefault="00870E71" w:rsidP="00870E71">
      <w:pPr>
        <w:spacing w:line="360" w:lineRule="auto"/>
        <w:jc w:val="both"/>
        <w:rPr>
          <w:rFonts w:cs="Arial"/>
          <w:b/>
          <w:sz w:val="24"/>
          <w:szCs w:val="24"/>
        </w:rPr>
      </w:pPr>
      <w:r>
        <w:rPr>
          <w:rFonts w:cs="Arial"/>
          <w:b/>
          <w:sz w:val="24"/>
          <w:szCs w:val="24"/>
        </w:rPr>
        <w:t>8. CLASSIFICAÇÃO INICIAL DAS PROPOSTAS E FORMULAÇÃO DE LANCES</w:t>
      </w:r>
    </w:p>
    <w:p w:rsidR="00870E71" w:rsidRDefault="00870E71" w:rsidP="00870E71">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870E71" w:rsidRDefault="00870E71" w:rsidP="00870E71">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870E71" w:rsidRDefault="00870E71" w:rsidP="00870E71">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870E71" w:rsidRDefault="00870E71" w:rsidP="00870E71">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870E71" w:rsidRDefault="00870E71" w:rsidP="00870E71">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870E71" w:rsidRDefault="00870E71" w:rsidP="00870E71">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lastRenderedPageBreak/>
        <w:t>d)</w:t>
      </w:r>
      <w:r>
        <w:rPr>
          <w:rFonts w:ascii="Arial" w:hAnsi="Arial" w:cs="Arial"/>
        </w:rPr>
        <w:t xml:space="preserve"> não tiverem sua exequibilidade demonstrada, quando exigido pela Administração;</w:t>
      </w:r>
    </w:p>
    <w:p w:rsidR="00870E71" w:rsidRDefault="00870E71" w:rsidP="00870E71">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870E71" w:rsidRDefault="00870E71" w:rsidP="00870E71">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870E71" w:rsidRDefault="00870E71" w:rsidP="00870E71">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870E71" w:rsidRDefault="00870E71" w:rsidP="00870E71">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870E71" w:rsidRDefault="00870E71" w:rsidP="00870E71">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870E71" w:rsidRDefault="00870E71" w:rsidP="00870E71">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870E71" w:rsidRDefault="00870E71" w:rsidP="00870E71">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870E71" w:rsidRDefault="00870E71" w:rsidP="00870E71">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870E71" w:rsidRDefault="00870E71" w:rsidP="00870E71">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870E71" w:rsidRDefault="00870E71" w:rsidP="00870E71">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O intervalo mínimo de diferença de valo</w:t>
      </w:r>
      <w:r w:rsidR="005345C2">
        <w:rPr>
          <w:rFonts w:cs="Arial"/>
          <w:sz w:val="24"/>
          <w:szCs w:val="24"/>
        </w:rPr>
        <w:t>res entre os lances será de R$ 20</w:t>
      </w:r>
      <w:r>
        <w:rPr>
          <w:rFonts w:cs="Arial"/>
          <w:sz w:val="24"/>
          <w:szCs w:val="24"/>
        </w:rPr>
        <w:t xml:space="preserve">,00 ( </w:t>
      </w:r>
      <w:r w:rsidR="005345C2">
        <w:rPr>
          <w:rFonts w:cs="Arial"/>
          <w:sz w:val="24"/>
          <w:szCs w:val="24"/>
        </w:rPr>
        <w:t>vinte</w:t>
      </w:r>
      <w:r>
        <w:rPr>
          <w:rFonts w:cs="Arial"/>
          <w:sz w:val="24"/>
          <w:szCs w:val="24"/>
        </w:rPr>
        <w:t xml:space="preserve"> reais ), que incidirá tanto em relação aos lances intermediários, quanto em relação do lance que cobrir a melhor oferta.</w:t>
      </w:r>
    </w:p>
    <w:p w:rsidR="00870E71" w:rsidRDefault="00870E71" w:rsidP="00870E71">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870E71" w:rsidRDefault="00870E71" w:rsidP="00870E71">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lastRenderedPageBreak/>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870E71" w:rsidRDefault="00870E71" w:rsidP="00870E71">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870E71" w:rsidRDefault="00870E71" w:rsidP="00870E71">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O valor da proposta será reajustado pelo(s) índice(s) IPCA com data-base vinculada à data do orçamento estimado.</w:t>
      </w:r>
    </w:p>
    <w:p w:rsidR="00870E71" w:rsidRDefault="00870E71" w:rsidP="00870E71">
      <w:pPr>
        <w:pStyle w:val="NormalWeb"/>
        <w:spacing w:before="0" w:beforeAutospacing="0" w:after="0" w:afterAutospacing="0" w:line="360" w:lineRule="auto"/>
        <w:jc w:val="both"/>
        <w:rPr>
          <w:rFonts w:ascii="Arial" w:hAnsi="Arial" w:cs="Arial"/>
          <w:b/>
          <w:sz w:val="22"/>
          <w:szCs w:val="22"/>
        </w:rPr>
      </w:pPr>
    </w:p>
    <w:p w:rsidR="00870E71" w:rsidRDefault="00870E71" w:rsidP="00870E71">
      <w:pPr>
        <w:tabs>
          <w:tab w:val="left" w:pos="1134"/>
        </w:tabs>
        <w:spacing w:line="360" w:lineRule="auto"/>
        <w:jc w:val="both"/>
        <w:rPr>
          <w:rFonts w:cs="Arial"/>
          <w:b/>
          <w:sz w:val="24"/>
          <w:szCs w:val="24"/>
        </w:rPr>
      </w:pPr>
      <w:r>
        <w:rPr>
          <w:rFonts w:cs="Arial"/>
          <w:b/>
          <w:sz w:val="24"/>
          <w:szCs w:val="24"/>
        </w:rPr>
        <w:t>9. MODO DE DISPUTA</w:t>
      </w:r>
    </w:p>
    <w:p w:rsidR="00870E71" w:rsidRDefault="00870E71" w:rsidP="00870E71">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870E71" w:rsidRDefault="00870E71" w:rsidP="00870E71">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durará 10 (dez) minutos e, após isso, será prorrogada automaticamente pelo sistema quando houver lance ofertado nos últimos 02 ( dois  ) minutos do período de duração da sessão pública.</w:t>
      </w:r>
    </w:p>
    <w:p w:rsidR="00870E71" w:rsidRDefault="00870E71" w:rsidP="00870E71">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A prorrogação automática da etapa de envio de lances será de 02 ( dois  ) minutos e ocorrerá sucessivamente sempre que houver lances enviados nesse período de prorrogação, inclusive quando se tratar de lances intermediários.</w:t>
      </w:r>
    </w:p>
    <w:p w:rsidR="00870E71" w:rsidRDefault="00870E71" w:rsidP="00870E71">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870E71" w:rsidRDefault="00870E71" w:rsidP="00870E71">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870E71" w:rsidRDefault="00870E71" w:rsidP="00870E71">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870E71" w:rsidRDefault="00870E71" w:rsidP="00870E71">
      <w:pPr>
        <w:tabs>
          <w:tab w:val="left" w:pos="1134"/>
        </w:tabs>
        <w:spacing w:line="360" w:lineRule="auto"/>
        <w:jc w:val="both"/>
        <w:rPr>
          <w:rFonts w:cs="Arial"/>
          <w:sz w:val="24"/>
          <w:szCs w:val="24"/>
        </w:rPr>
      </w:pPr>
      <w:r>
        <w:rPr>
          <w:rFonts w:cs="Arial"/>
          <w:b/>
          <w:bCs/>
          <w:sz w:val="24"/>
          <w:szCs w:val="24"/>
        </w:rPr>
        <w:lastRenderedPageBreak/>
        <w:t xml:space="preserve">9.7. </w:t>
      </w:r>
      <w:r>
        <w:rPr>
          <w:rFonts w:cs="Arial"/>
          <w:sz w:val="24"/>
          <w:szCs w:val="24"/>
        </w:rPr>
        <w:t>Quando a desconexão do sistema eletrônico para o pregoeiro persistir por tempo superior a 30 ( trinta ) minutos, a sessão pública será suspensa e reiniciada somente decorridas 24 (vinte e quatro) horas após a comunicação do fato aos participantes, no mesmo endereço eletrônico que ocorreu a sessão.</w:t>
      </w:r>
    </w:p>
    <w:p w:rsidR="00870E71" w:rsidRDefault="00870E71" w:rsidP="00870E71">
      <w:pPr>
        <w:tabs>
          <w:tab w:val="left" w:pos="1134"/>
        </w:tabs>
        <w:spacing w:line="360" w:lineRule="auto"/>
        <w:jc w:val="both"/>
        <w:rPr>
          <w:rFonts w:cs="Arial"/>
          <w:sz w:val="24"/>
          <w:szCs w:val="24"/>
        </w:rPr>
      </w:pPr>
    </w:p>
    <w:p w:rsidR="00870E71" w:rsidRDefault="00870E71" w:rsidP="00870E71">
      <w:pPr>
        <w:tabs>
          <w:tab w:val="left" w:pos="1134"/>
        </w:tabs>
        <w:spacing w:line="360" w:lineRule="auto"/>
        <w:jc w:val="both"/>
        <w:rPr>
          <w:rFonts w:cs="Arial"/>
          <w:b/>
          <w:sz w:val="24"/>
          <w:szCs w:val="24"/>
        </w:rPr>
      </w:pPr>
      <w:r>
        <w:rPr>
          <w:rFonts w:cs="Arial"/>
          <w:b/>
          <w:sz w:val="24"/>
          <w:szCs w:val="24"/>
        </w:rPr>
        <w:t>10. CRITÉRIOS DE DESEMPATE</w:t>
      </w:r>
    </w:p>
    <w:p w:rsidR="00870E71" w:rsidRDefault="00870E71" w:rsidP="00870E71">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870E71" w:rsidRDefault="00870E71" w:rsidP="00870E71">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870E71" w:rsidRDefault="00870E71" w:rsidP="00870E71">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870E71" w:rsidRDefault="00870E71" w:rsidP="00870E71">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870E71" w:rsidRDefault="00870E71" w:rsidP="00870E71">
      <w:pPr>
        <w:tabs>
          <w:tab w:val="left" w:pos="1134"/>
        </w:tabs>
        <w:spacing w:line="360" w:lineRule="auto"/>
        <w:jc w:val="both"/>
        <w:rPr>
          <w:rFonts w:cs="Arial"/>
          <w:sz w:val="24"/>
          <w:szCs w:val="24"/>
        </w:rPr>
      </w:pPr>
      <w:r>
        <w:rPr>
          <w:rFonts w:cs="Arial"/>
          <w:b/>
          <w:sz w:val="24"/>
          <w:szCs w:val="24"/>
        </w:rPr>
        <w:t xml:space="preserve">b) </w:t>
      </w:r>
      <w:r>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deste edital, a apresentação de nova proposta, no prazo previsto na alínea “a” deste item.</w:t>
      </w:r>
    </w:p>
    <w:p w:rsidR="00870E71" w:rsidRDefault="00870E71" w:rsidP="00870E71">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não se aplica às hipóteses em que a proposta de menor valor inicial tiver sido apresentado por beneficiária da LC nº 123/2006.</w:t>
      </w:r>
    </w:p>
    <w:p w:rsidR="00870E71" w:rsidRDefault="00870E71" w:rsidP="00870E71">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p>
    <w:p w:rsidR="00870E71" w:rsidRDefault="00870E71" w:rsidP="00870E71">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lastRenderedPageBreak/>
        <w:t>a)</w:t>
      </w:r>
      <w:r>
        <w:rPr>
          <w:rFonts w:ascii="Arial" w:hAnsi="Arial" w:cs="Arial"/>
        </w:rPr>
        <w:t xml:space="preserve"> disputa final, hipótese em que os licitantes empatados poderão apresentar nova proposta em ato contínuo à classificação;</w:t>
      </w:r>
    </w:p>
    <w:p w:rsidR="00870E71" w:rsidRDefault="00870E71" w:rsidP="00870E71">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870E71" w:rsidRDefault="00870E71" w:rsidP="00870E71">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870E71" w:rsidRDefault="00870E71" w:rsidP="00870E71">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870E71" w:rsidRDefault="00870E71" w:rsidP="00870E71">
      <w:pPr>
        <w:pStyle w:val="NormalWeb"/>
        <w:spacing w:before="0" w:beforeAutospacing="0" w:after="0" w:afterAutospacing="0" w:line="360" w:lineRule="auto"/>
        <w:jc w:val="both"/>
        <w:rPr>
          <w:rFonts w:ascii="Arial" w:hAnsi="Arial" w:cs="Arial"/>
        </w:rPr>
      </w:pPr>
      <w:bookmarkStart w:id="23" w:name="art60§1"/>
      <w:bookmarkEnd w:id="23"/>
      <w:r>
        <w:rPr>
          <w:rFonts w:ascii="Arial" w:hAnsi="Arial" w:cs="Arial"/>
          <w:b/>
          <w:bCs/>
        </w:rPr>
        <w:t>10.3</w:t>
      </w:r>
      <w:r>
        <w:rPr>
          <w:rFonts w:ascii="Arial" w:hAnsi="Arial" w:cs="Arial"/>
        </w:rPr>
        <w:t xml:space="preserve"> Em igualdade de condições, se não houver desempate, será assegurada preferência, sucessivamente, aos bens e serviços produzidos ou prestados por:</w:t>
      </w:r>
    </w:p>
    <w:p w:rsidR="00870E71" w:rsidRDefault="00870E71" w:rsidP="00870E71">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do RS;</w:t>
      </w:r>
    </w:p>
    <w:p w:rsidR="00870E71" w:rsidRDefault="00870E71" w:rsidP="00870E71">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870E71" w:rsidRDefault="00870E71" w:rsidP="00870E71">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870E71" w:rsidRDefault="00870E71" w:rsidP="00870E71">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870E71" w:rsidRDefault="00870E71" w:rsidP="00870E71">
      <w:pPr>
        <w:tabs>
          <w:tab w:val="left" w:pos="1134"/>
        </w:tabs>
        <w:spacing w:line="360" w:lineRule="auto"/>
        <w:jc w:val="both"/>
        <w:rPr>
          <w:rFonts w:cs="Arial"/>
          <w:b/>
          <w:sz w:val="24"/>
          <w:szCs w:val="24"/>
        </w:rPr>
      </w:pPr>
    </w:p>
    <w:p w:rsidR="00870E71" w:rsidRDefault="00870E71" w:rsidP="00870E71">
      <w:pPr>
        <w:tabs>
          <w:tab w:val="left" w:pos="1134"/>
        </w:tabs>
        <w:spacing w:line="360" w:lineRule="auto"/>
        <w:jc w:val="both"/>
        <w:rPr>
          <w:rFonts w:cs="Arial"/>
          <w:b/>
          <w:sz w:val="24"/>
          <w:szCs w:val="24"/>
        </w:rPr>
      </w:pPr>
      <w:r>
        <w:rPr>
          <w:rFonts w:cs="Arial"/>
          <w:b/>
          <w:sz w:val="24"/>
          <w:szCs w:val="24"/>
        </w:rPr>
        <w:t>11. NEGOCIAÇÃO E JULGAMENTO</w:t>
      </w:r>
    </w:p>
    <w:p w:rsidR="00870E71" w:rsidRDefault="00870E71" w:rsidP="00870E71">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870E71" w:rsidRDefault="00870E71" w:rsidP="00870E71">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870E71" w:rsidRDefault="00870E71" w:rsidP="00870E71">
      <w:pPr>
        <w:spacing w:line="360" w:lineRule="auto"/>
        <w:jc w:val="both"/>
        <w:rPr>
          <w:rFonts w:cs="Arial"/>
          <w:sz w:val="24"/>
          <w:szCs w:val="24"/>
        </w:rPr>
      </w:pPr>
      <w:r>
        <w:rPr>
          <w:rFonts w:cs="Arial"/>
          <w:b/>
          <w:bCs/>
          <w:sz w:val="24"/>
          <w:szCs w:val="24"/>
        </w:rPr>
        <w:lastRenderedPageBreak/>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870E71" w:rsidRDefault="00870E71" w:rsidP="00870E71">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870E71" w:rsidRDefault="00870E71" w:rsidP="00870E71">
      <w:pPr>
        <w:spacing w:line="360" w:lineRule="auto"/>
        <w:jc w:val="both"/>
        <w:rPr>
          <w:rFonts w:cs="Arial"/>
          <w:sz w:val="24"/>
          <w:szCs w:val="24"/>
        </w:rPr>
      </w:pPr>
    </w:p>
    <w:p w:rsidR="00870E71" w:rsidRDefault="00870E71" w:rsidP="00870E71">
      <w:pPr>
        <w:tabs>
          <w:tab w:val="left" w:pos="1134"/>
        </w:tabs>
        <w:spacing w:line="360" w:lineRule="auto"/>
        <w:jc w:val="both"/>
        <w:rPr>
          <w:rFonts w:cs="Arial"/>
          <w:b/>
          <w:sz w:val="24"/>
          <w:szCs w:val="24"/>
        </w:rPr>
      </w:pPr>
      <w:r>
        <w:rPr>
          <w:rFonts w:cs="Arial"/>
          <w:b/>
          <w:sz w:val="24"/>
          <w:szCs w:val="24"/>
        </w:rPr>
        <w:t>12. VERIFICAÇÃO DA HABILITAÇÃO</w:t>
      </w:r>
    </w:p>
    <w:p w:rsidR="00870E71" w:rsidRDefault="00870E71" w:rsidP="00870E71">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 setenta e duas) horas.</w:t>
      </w:r>
    </w:p>
    <w:p w:rsidR="00870E71" w:rsidRDefault="00870E71" w:rsidP="00870E71">
      <w:pPr>
        <w:pStyle w:val="Default"/>
        <w:spacing w:line="360" w:lineRule="auto"/>
        <w:jc w:val="both"/>
      </w:pPr>
      <w:r>
        <w:t>Após a entrega dos documentos para habilitação, não será permitida a substituição ou a apresentação de novos documentos, salvo em sede de diligência, para:</w:t>
      </w:r>
      <w:bookmarkStart w:id="29" w:name="art64i"/>
      <w:bookmarkEnd w:id="29"/>
    </w:p>
    <w:p w:rsidR="00870E71" w:rsidRDefault="00870E71" w:rsidP="00870E71">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870E71" w:rsidRDefault="00870E71" w:rsidP="00870E71">
      <w:pPr>
        <w:pStyle w:val="Default"/>
        <w:spacing w:line="360" w:lineRule="auto"/>
        <w:jc w:val="both"/>
      </w:pPr>
      <w:r>
        <w:rPr>
          <w:b/>
          <w:bCs/>
        </w:rPr>
        <w:t>b)</w:t>
      </w:r>
      <w:r>
        <w:t xml:space="preserve"> atualização de documentos cuja validade tenha expirado após a data de recebimento das propostas.</w:t>
      </w:r>
    </w:p>
    <w:p w:rsidR="00870E71" w:rsidRDefault="00870E71" w:rsidP="00870E71">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870E71" w:rsidRDefault="00870E71" w:rsidP="00870E71">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870E71" w:rsidRDefault="00870E71" w:rsidP="00870E71">
      <w:pPr>
        <w:spacing w:line="360" w:lineRule="auto"/>
        <w:jc w:val="both"/>
        <w:rPr>
          <w:rFonts w:cs="Arial"/>
          <w:sz w:val="24"/>
          <w:szCs w:val="24"/>
        </w:rPr>
      </w:pPr>
      <w:r>
        <w:rPr>
          <w:rFonts w:cs="Arial"/>
          <w:b/>
          <w:bCs/>
          <w:sz w:val="24"/>
          <w:szCs w:val="24"/>
        </w:rPr>
        <w:t xml:space="preserve">12.4. </w:t>
      </w:r>
      <w:r>
        <w:rPr>
          <w:rFonts w:cs="Arial"/>
          <w:sz w:val="24"/>
          <w:szCs w:val="24"/>
        </w:rPr>
        <w:t xml:space="preserve">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w:t>
      </w:r>
      <w:r>
        <w:rPr>
          <w:rFonts w:cs="Arial"/>
          <w:sz w:val="24"/>
          <w:szCs w:val="24"/>
        </w:rPr>
        <w:lastRenderedPageBreak/>
        <w:t>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870E71" w:rsidRDefault="00870E71" w:rsidP="00870E71">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870E71" w:rsidRDefault="00870E71" w:rsidP="00870E71">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870E71" w:rsidRDefault="00870E71" w:rsidP="00870E71">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870E71" w:rsidRDefault="00870E71" w:rsidP="00870E71">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870E71" w:rsidRDefault="00870E71" w:rsidP="00870E71">
      <w:pPr>
        <w:spacing w:line="360" w:lineRule="auto"/>
        <w:jc w:val="both"/>
        <w:rPr>
          <w:rFonts w:cs="Arial"/>
          <w:b/>
          <w:bCs/>
          <w:sz w:val="24"/>
          <w:szCs w:val="24"/>
        </w:rPr>
      </w:pPr>
    </w:p>
    <w:p w:rsidR="00870E71" w:rsidRDefault="00870E71" w:rsidP="00870E71">
      <w:pPr>
        <w:tabs>
          <w:tab w:val="left" w:pos="1134"/>
        </w:tabs>
        <w:spacing w:line="360" w:lineRule="auto"/>
        <w:jc w:val="both"/>
        <w:rPr>
          <w:rFonts w:cs="Arial"/>
          <w:b/>
          <w:sz w:val="24"/>
          <w:szCs w:val="24"/>
        </w:rPr>
      </w:pPr>
      <w:r>
        <w:rPr>
          <w:rFonts w:cs="Arial"/>
          <w:b/>
          <w:sz w:val="24"/>
          <w:szCs w:val="24"/>
        </w:rPr>
        <w:t xml:space="preserve">13. DOS RECURSOS </w:t>
      </w:r>
    </w:p>
    <w:p w:rsidR="00870E71" w:rsidRDefault="00870E71" w:rsidP="00870E71">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870E71" w:rsidRDefault="00870E71" w:rsidP="00870E71">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870E71" w:rsidRDefault="00870E71" w:rsidP="00870E71">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870E71" w:rsidRDefault="00870E71" w:rsidP="00870E71">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870E71" w:rsidRDefault="00870E71" w:rsidP="00870E71">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870E71" w:rsidRDefault="00870E71" w:rsidP="00870E71">
      <w:pPr>
        <w:pStyle w:val="NormalWeb"/>
        <w:spacing w:before="0" w:beforeAutospacing="0" w:after="0" w:afterAutospacing="0" w:line="360" w:lineRule="auto"/>
        <w:jc w:val="both"/>
        <w:rPr>
          <w:rFonts w:ascii="Arial" w:hAnsi="Arial" w:cs="Arial"/>
          <w:b/>
          <w:bCs/>
        </w:rPr>
      </w:pPr>
      <w:r>
        <w:rPr>
          <w:rFonts w:ascii="Arial" w:hAnsi="Arial" w:cs="Arial"/>
          <w:b/>
          <w:bCs/>
        </w:rPr>
        <w:lastRenderedPageBreak/>
        <w:t>13.2.</w:t>
      </w:r>
      <w:r>
        <w:rPr>
          <w:rFonts w:ascii="Arial" w:hAnsi="Arial" w:cs="Arial"/>
        </w:rPr>
        <w:t xml:space="preserve"> O prazo para apresentação de contrarrazões será o mesmo do recurso e terá início na data de intimação ou de divulgação da interposição do recurso.</w:t>
      </w:r>
    </w:p>
    <w:p w:rsidR="00870E71" w:rsidRDefault="00870E71" w:rsidP="00870E71">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nas alíneas “b” e “c” do item 13.1 do presente Edital, serão observadas as seguintes disposições:</w:t>
      </w:r>
    </w:p>
    <w:p w:rsidR="00870E71" w:rsidRDefault="00870E71" w:rsidP="00870E71">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870E71" w:rsidRDefault="00870E71" w:rsidP="00870E71">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870E71" w:rsidRDefault="00870E71" w:rsidP="00870E71">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870E71" w:rsidRDefault="00870E71" w:rsidP="00870E71">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870E71" w:rsidRDefault="00870E71" w:rsidP="00870E71">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870E71" w:rsidRDefault="00870E71" w:rsidP="00870E71">
      <w:pPr>
        <w:pStyle w:val="NormalWeb"/>
        <w:spacing w:before="0" w:beforeAutospacing="0" w:after="0" w:afterAutospacing="0" w:line="360" w:lineRule="auto"/>
        <w:jc w:val="both"/>
        <w:rPr>
          <w:rFonts w:ascii="Arial" w:hAnsi="Arial" w:cs="Arial"/>
        </w:rPr>
      </w:pPr>
    </w:p>
    <w:p w:rsidR="00870E71" w:rsidRDefault="00870E71" w:rsidP="00870E71">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870E71" w:rsidRDefault="00870E71" w:rsidP="00870E71">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870E71" w:rsidRDefault="00870E71" w:rsidP="00870E71">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870E71" w:rsidRDefault="00870E71" w:rsidP="00870E71">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870E71" w:rsidRDefault="00870E71" w:rsidP="00870E71">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870E71" w:rsidRDefault="00870E71" w:rsidP="00870E71">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870E71" w:rsidRDefault="00870E71" w:rsidP="00870E71">
      <w:pPr>
        <w:tabs>
          <w:tab w:val="left" w:pos="1134"/>
        </w:tabs>
        <w:spacing w:line="360" w:lineRule="auto"/>
        <w:jc w:val="both"/>
        <w:rPr>
          <w:rFonts w:cs="Arial"/>
          <w:b/>
          <w:sz w:val="24"/>
          <w:szCs w:val="24"/>
        </w:rPr>
      </w:pPr>
      <w:bookmarkStart w:id="45" w:name="art71§1"/>
      <w:bookmarkEnd w:id="45"/>
    </w:p>
    <w:p w:rsidR="00870E71" w:rsidRDefault="00870E71" w:rsidP="00870E71">
      <w:pPr>
        <w:tabs>
          <w:tab w:val="left" w:pos="1134"/>
        </w:tabs>
        <w:spacing w:line="360" w:lineRule="auto"/>
        <w:jc w:val="both"/>
        <w:rPr>
          <w:rFonts w:cs="Arial"/>
          <w:b/>
          <w:sz w:val="24"/>
          <w:szCs w:val="24"/>
        </w:rPr>
      </w:pPr>
      <w:r>
        <w:rPr>
          <w:rFonts w:cs="Arial"/>
          <w:b/>
          <w:sz w:val="24"/>
          <w:szCs w:val="24"/>
        </w:rPr>
        <w:t>15. CONDIÇÕES DE CONTRATAÇÃO</w:t>
      </w:r>
    </w:p>
    <w:p w:rsidR="00870E71" w:rsidRDefault="00870E71" w:rsidP="00870E71">
      <w:pPr>
        <w:pStyle w:val="NormalWeb"/>
        <w:spacing w:before="0" w:beforeAutospacing="0" w:after="0" w:afterAutospacing="0" w:line="360" w:lineRule="auto"/>
        <w:jc w:val="both"/>
        <w:rPr>
          <w:rFonts w:ascii="Arial" w:hAnsi="Arial" w:cs="Arial"/>
        </w:rPr>
      </w:pPr>
      <w:r>
        <w:rPr>
          <w:rFonts w:ascii="Arial" w:hAnsi="Arial" w:cs="Arial"/>
          <w:b/>
          <w:bCs/>
        </w:rPr>
        <w:lastRenderedPageBreak/>
        <w:t>15.1.</w:t>
      </w:r>
      <w:r>
        <w:rPr>
          <w:rFonts w:ascii="Arial" w:hAnsi="Arial" w:cs="Arial"/>
        </w:rPr>
        <w:t xml:space="preserve"> O licitante vencedor será convocado para assinar a ata de registro de preço e/ou contrato ou para retirar o instrumento equivalente, dentro do prazo de 05 ( cinco ) dias úteis, sob pena de decair o direito à contratação, sem prejuízo das sanções previstas neste Edital.</w:t>
      </w:r>
    </w:p>
    <w:p w:rsidR="00870E71" w:rsidRDefault="00870E71" w:rsidP="00870E71">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870E71" w:rsidRDefault="00870E71" w:rsidP="00870E71">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870E71" w:rsidRDefault="00870E71" w:rsidP="00870E71">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870E71" w:rsidRDefault="00870E71" w:rsidP="00870E71">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deste Edital, a Administração, observados o valor estimado e sua eventual atualização nos termos do edital, poderá:</w:t>
      </w:r>
    </w:p>
    <w:p w:rsidR="00870E71" w:rsidRDefault="00870E71" w:rsidP="00870E71">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870E71" w:rsidRDefault="00870E71" w:rsidP="00870E71">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870E71" w:rsidRDefault="00870E71" w:rsidP="00870E71">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w:t>
      </w:r>
      <w:r>
        <w:rPr>
          <w:rFonts w:ascii="Arial" w:hAnsi="Arial" w:cs="Arial"/>
        </w:rPr>
        <w:lastRenderedPageBreak/>
        <w:t>previstas neste edital, e à imediata perda da garantia de proposta em favor do órgão licitante.</w:t>
      </w:r>
    </w:p>
    <w:p w:rsidR="00870E71" w:rsidRDefault="00870E71" w:rsidP="00870E71">
      <w:pPr>
        <w:pStyle w:val="NormalWeb"/>
        <w:spacing w:before="0" w:beforeAutospacing="0" w:after="0" w:afterAutospacing="0" w:line="360" w:lineRule="auto"/>
        <w:jc w:val="both"/>
        <w:rPr>
          <w:rFonts w:ascii="Arial" w:hAnsi="Arial" w:cs="Arial"/>
        </w:rPr>
      </w:pPr>
    </w:p>
    <w:p w:rsidR="00870E71" w:rsidRDefault="00870E71" w:rsidP="00870E71">
      <w:pPr>
        <w:pStyle w:val="NormalWeb"/>
        <w:spacing w:before="0" w:beforeAutospacing="0" w:after="0" w:afterAutospacing="0" w:line="360" w:lineRule="auto"/>
        <w:jc w:val="both"/>
        <w:rPr>
          <w:rFonts w:ascii="Arial" w:hAnsi="Arial" w:cs="Arial"/>
        </w:rPr>
      </w:pPr>
    </w:p>
    <w:p w:rsidR="00870E71" w:rsidRDefault="00870E71" w:rsidP="00870E71">
      <w:pPr>
        <w:tabs>
          <w:tab w:val="left" w:pos="1134"/>
        </w:tabs>
        <w:spacing w:line="360" w:lineRule="auto"/>
        <w:jc w:val="both"/>
        <w:rPr>
          <w:rFonts w:cs="Arial"/>
          <w:b/>
          <w:sz w:val="24"/>
          <w:szCs w:val="24"/>
        </w:rPr>
      </w:pPr>
      <w:r>
        <w:rPr>
          <w:rFonts w:cs="Arial"/>
          <w:b/>
          <w:sz w:val="24"/>
          <w:szCs w:val="24"/>
        </w:rPr>
        <w:t>16. VIGÊNCIA DA ATA DE REGISTRO DE PREÇOS E/OU CONTRATO</w:t>
      </w:r>
    </w:p>
    <w:p w:rsidR="00870E71" w:rsidRDefault="00870E71" w:rsidP="00870E71">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 doze ) meses, podendo ser prorrogado até a vigência máxima de 24 ( vinte e quatro ) meses ).</w:t>
      </w:r>
    </w:p>
    <w:p w:rsidR="00870E71" w:rsidRDefault="00870E71" w:rsidP="00870E71">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O contrato decorrente da ata de registro de preços terá sua vigência estabelecida em conformidade com as disposições nela contidas, respeitados os limites dispostos no art. 106 e 107 da Lei Federal n.º 14.133/2021.</w:t>
      </w:r>
    </w:p>
    <w:p w:rsidR="00870E71" w:rsidRDefault="00870E71" w:rsidP="00870E71">
      <w:pPr>
        <w:spacing w:line="360" w:lineRule="auto"/>
        <w:rPr>
          <w:rFonts w:cs="Arial"/>
          <w:b/>
          <w:sz w:val="24"/>
          <w:szCs w:val="24"/>
        </w:rPr>
      </w:pPr>
    </w:p>
    <w:p w:rsidR="00870E71" w:rsidRDefault="00870E71" w:rsidP="00870E71">
      <w:pPr>
        <w:spacing w:line="360" w:lineRule="auto"/>
        <w:jc w:val="both"/>
        <w:rPr>
          <w:rFonts w:cs="Arial"/>
          <w:b/>
          <w:bCs/>
          <w:sz w:val="24"/>
          <w:szCs w:val="24"/>
        </w:rPr>
      </w:pPr>
      <w:r>
        <w:rPr>
          <w:rFonts w:cs="Arial"/>
          <w:b/>
          <w:bCs/>
          <w:sz w:val="24"/>
          <w:szCs w:val="24"/>
        </w:rPr>
        <w:t>17. DAS HIPÓTESES DE CANCELAMENTO DA ATA:</w:t>
      </w:r>
    </w:p>
    <w:p w:rsidR="00870E71" w:rsidRDefault="00870E71" w:rsidP="00870E71">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870E71" w:rsidRDefault="00870E71" w:rsidP="00870E71">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870E71" w:rsidRDefault="00870E71" w:rsidP="00870E71">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870E71" w:rsidRDefault="00870E71" w:rsidP="00870E71">
      <w:pPr>
        <w:spacing w:line="360" w:lineRule="auto"/>
        <w:jc w:val="both"/>
        <w:rPr>
          <w:rFonts w:cs="Arial"/>
          <w:sz w:val="24"/>
          <w:szCs w:val="24"/>
        </w:rPr>
      </w:pPr>
    </w:p>
    <w:p w:rsidR="00870E71" w:rsidRDefault="00870E71" w:rsidP="00870E71">
      <w:pPr>
        <w:spacing w:line="360" w:lineRule="auto"/>
        <w:jc w:val="both"/>
        <w:rPr>
          <w:rFonts w:cs="Arial"/>
          <w:b/>
          <w:bCs/>
          <w:sz w:val="24"/>
          <w:szCs w:val="24"/>
        </w:rPr>
      </w:pPr>
      <w:r>
        <w:rPr>
          <w:rFonts w:cs="Arial"/>
          <w:b/>
          <w:bCs/>
          <w:sz w:val="24"/>
          <w:szCs w:val="24"/>
        </w:rPr>
        <w:t>18. DAS CONDIÇÕES PARA ALTERAÇÃO DOS PREÇOS REGISTRADOS:</w:t>
      </w:r>
    </w:p>
    <w:p w:rsidR="00870E71" w:rsidRDefault="00870E71" w:rsidP="00870E71">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870E71" w:rsidRDefault="00870E71" w:rsidP="00870E71">
      <w:pPr>
        <w:spacing w:line="360" w:lineRule="auto"/>
        <w:jc w:val="both"/>
        <w:rPr>
          <w:rFonts w:cs="Arial"/>
          <w:color w:val="000000"/>
          <w:sz w:val="24"/>
          <w:szCs w:val="24"/>
        </w:rPr>
      </w:pPr>
      <w:r>
        <w:rPr>
          <w:rFonts w:cs="Arial"/>
          <w:b/>
          <w:bCs/>
          <w:color w:val="000000"/>
          <w:sz w:val="24"/>
          <w:szCs w:val="24"/>
        </w:rPr>
        <w:lastRenderedPageBreak/>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870E71" w:rsidRDefault="00870E71" w:rsidP="00870E71">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A resposta aos pedidos de revisão dos custos da ata, deverão ser feitas em até 15 ( quinze ) dias.</w:t>
      </w:r>
    </w:p>
    <w:p w:rsidR="00870E71" w:rsidRDefault="00870E71" w:rsidP="00870E71">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vantajosidade pela Administração, em que conceder os novos valores à contratada. </w:t>
      </w:r>
    </w:p>
    <w:p w:rsidR="00870E71" w:rsidRDefault="00870E71" w:rsidP="00870E71">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870E71" w:rsidRDefault="00870E71" w:rsidP="00870E71">
      <w:pPr>
        <w:spacing w:line="360" w:lineRule="auto"/>
        <w:jc w:val="both"/>
        <w:rPr>
          <w:rFonts w:cs="Arial"/>
          <w:sz w:val="24"/>
          <w:szCs w:val="24"/>
        </w:rPr>
      </w:pPr>
    </w:p>
    <w:p w:rsidR="00870E71" w:rsidRDefault="00870E71" w:rsidP="00870E71">
      <w:pPr>
        <w:spacing w:line="360" w:lineRule="auto"/>
        <w:jc w:val="both"/>
        <w:rPr>
          <w:rFonts w:cs="Arial"/>
          <w:b/>
          <w:bCs/>
          <w:sz w:val="24"/>
          <w:szCs w:val="24"/>
        </w:rPr>
      </w:pPr>
      <w:r>
        <w:rPr>
          <w:rFonts w:cs="Arial"/>
          <w:b/>
          <w:bCs/>
          <w:sz w:val="24"/>
          <w:szCs w:val="24"/>
        </w:rPr>
        <w:t>19. FORMALIZAÇÃO DO CADASTRO RESERVA:</w:t>
      </w:r>
    </w:p>
    <w:p w:rsidR="00870E71" w:rsidRDefault="00870E71" w:rsidP="00870E71">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870E71" w:rsidRDefault="00870E71" w:rsidP="00870E71">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870E71" w:rsidRDefault="00870E71" w:rsidP="00870E71">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870E71" w:rsidRDefault="00870E71" w:rsidP="00870E71">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será respeitada, nas contratações, a ordem de classificação dos licitantes ou fornecedores registrados na ata.</w:t>
      </w:r>
    </w:p>
    <w:p w:rsidR="00870E71" w:rsidRDefault="00870E71" w:rsidP="00870E71">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870E71" w:rsidRDefault="00870E71" w:rsidP="00870E71">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870E71" w:rsidRDefault="00870E71" w:rsidP="00870E71">
      <w:pPr>
        <w:spacing w:before="100" w:beforeAutospacing="1" w:line="360" w:lineRule="auto"/>
        <w:jc w:val="both"/>
        <w:rPr>
          <w:rFonts w:cs="Arial"/>
          <w:color w:val="000000"/>
          <w:sz w:val="16"/>
          <w:szCs w:val="16"/>
          <w:lang w:eastAsia="pt-BR"/>
        </w:rPr>
      </w:pPr>
    </w:p>
    <w:p w:rsidR="00870E71" w:rsidRDefault="00870E71" w:rsidP="00870E71">
      <w:pPr>
        <w:spacing w:line="360" w:lineRule="auto"/>
        <w:jc w:val="both"/>
        <w:rPr>
          <w:rFonts w:cs="Arial"/>
          <w:b/>
          <w:bCs/>
          <w:sz w:val="24"/>
          <w:szCs w:val="24"/>
        </w:rPr>
      </w:pPr>
      <w:r>
        <w:rPr>
          <w:rFonts w:cs="Arial"/>
          <w:b/>
          <w:bCs/>
          <w:sz w:val="24"/>
          <w:szCs w:val="24"/>
        </w:rPr>
        <w:t>20. DA CARONA:</w:t>
      </w:r>
    </w:p>
    <w:p w:rsidR="00870E71" w:rsidRDefault="00870E71" w:rsidP="00870E71">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870E71" w:rsidRDefault="00870E71" w:rsidP="00870E71">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870E71" w:rsidRDefault="00870E71" w:rsidP="00870E71">
      <w:pPr>
        <w:pStyle w:val="NormalWeb"/>
        <w:spacing w:before="0" w:beforeAutospacing="0" w:after="0" w:afterAutospacing="0" w:line="360" w:lineRule="auto"/>
        <w:jc w:val="both"/>
      </w:pPr>
      <w:bookmarkStart w:id="54" w:name="art86§2ii"/>
      <w:bookmarkEnd w:id="54"/>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870E71" w:rsidRDefault="00870E71" w:rsidP="00870E71">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870E71" w:rsidRDefault="00870E71" w:rsidP="00870E71">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870E71" w:rsidRDefault="00870E71" w:rsidP="00870E71">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item 20.1. não poderá exceder, na totalidade, ao dobro do quantitativo de cada item registrado na ata de registro de preços para o órgão gerenciador e órgãos participantes, independentemente do número de órgãos não participantes que aderirem.</w:t>
      </w:r>
    </w:p>
    <w:p w:rsidR="00870E71" w:rsidRDefault="00870E71" w:rsidP="00870E71">
      <w:pPr>
        <w:pStyle w:val="NormalWeb"/>
        <w:spacing w:before="0" w:beforeAutospacing="0" w:after="0" w:afterAutospacing="0" w:line="360" w:lineRule="auto"/>
        <w:jc w:val="both"/>
        <w:rPr>
          <w:rFonts w:ascii="Arial" w:hAnsi="Arial" w:cs="Arial"/>
          <w:color w:val="000000"/>
        </w:rPr>
      </w:pPr>
    </w:p>
    <w:p w:rsidR="00870E71" w:rsidRDefault="00870E71" w:rsidP="00870E71">
      <w:pPr>
        <w:tabs>
          <w:tab w:val="left" w:pos="1134"/>
        </w:tabs>
        <w:spacing w:line="360" w:lineRule="auto"/>
        <w:jc w:val="both"/>
        <w:rPr>
          <w:rFonts w:cs="Arial"/>
          <w:b/>
          <w:sz w:val="24"/>
          <w:szCs w:val="24"/>
        </w:rPr>
      </w:pPr>
      <w:r>
        <w:rPr>
          <w:rFonts w:cs="Arial"/>
          <w:b/>
          <w:sz w:val="24"/>
          <w:szCs w:val="24"/>
        </w:rPr>
        <w:t>21. DO RECEBIMENTO DO OBJETO:</w:t>
      </w:r>
    </w:p>
    <w:p w:rsidR="00870E71" w:rsidRDefault="00870E71" w:rsidP="00870E71">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O prazo de entrega integ</w:t>
      </w:r>
      <w:r w:rsidR="005345C2">
        <w:rPr>
          <w:rFonts w:cs="Arial"/>
          <w:sz w:val="24"/>
          <w:szCs w:val="24"/>
        </w:rPr>
        <w:t>ral dos materiais será de até 30 ( trinta</w:t>
      </w:r>
      <w:r>
        <w:rPr>
          <w:rFonts w:cs="Arial"/>
          <w:sz w:val="24"/>
          <w:szCs w:val="24"/>
        </w:rPr>
        <w:t xml:space="preserve"> ) dias úteis, a contar da emissão da ordem de fornecimento.</w:t>
      </w:r>
    </w:p>
    <w:p w:rsidR="00870E71" w:rsidRDefault="00870E71" w:rsidP="00870E71">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Os Equipamentos deverão ser entregues no Centro Administrativo , sito a Avenida Prefeito José Nunes de Abreu, 6.000, centro, Santo Antônio das Missões-RS,  no horário das 08:00 ás 14:00 horas.</w:t>
      </w:r>
    </w:p>
    <w:p w:rsidR="00870E71" w:rsidRDefault="00870E71" w:rsidP="00870E71">
      <w:pPr>
        <w:tabs>
          <w:tab w:val="left" w:pos="1134"/>
        </w:tabs>
        <w:spacing w:line="360" w:lineRule="auto"/>
        <w:jc w:val="both"/>
        <w:rPr>
          <w:rFonts w:cs="Arial"/>
          <w:sz w:val="24"/>
          <w:szCs w:val="24"/>
        </w:rPr>
      </w:pPr>
      <w:r>
        <w:rPr>
          <w:rFonts w:cs="Arial"/>
          <w:b/>
          <w:sz w:val="24"/>
          <w:szCs w:val="24"/>
        </w:rPr>
        <w:lastRenderedPageBreak/>
        <w:t xml:space="preserve">21.3. </w:t>
      </w:r>
      <w:r>
        <w:rPr>
          <w:rFonts w:cs="Arial"/>
          <w:sz w:val="24"/>
          <w:szCs w:val="24"/>
        </w:rPr>
        <w:t>Verificada a desconformidade de algum dos produtos, a licitante vencedora deverá promover as correções necessárias no prazo máximo de 10 ( dez ) dias úteis, sujeitando-se às penalidades previstas neste edital.</w:t>
      </w:r>
    </w:p>
    <w:p w:rsidR="00870E71" w:rsidRDefault="00870E71" w:rsidP="00870E71">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870E71" w:rsidRDefault="00870E71" w:rsidP="00870E71">
      <w:pPr>
        <w:spacing w:line="360" w:lineRule="auto"/>
        <w:rPr>
          <w:rFonts w:cs="Arial"/>
          <w:b/>
          <w:sz w:val="24"/>
          <w:szCs w:val="24"/>
        </w:rPr>
      </w:pPr>
    </w:p>
    <w:p w:rsidR="00870E71" w:rsidRDefault="00870E71" w:rsidP="00870E71">
      <w:pPr>
        <w:tabs>
          <w:tab w:val="left" w:pos="1134"/>
        </w:tabs>
        <w:spacing w:line="360" w:lineRule="auto"/>
        <w:jc w:val="both"/>
        <w:rPr>
          <w:rFonts w:cs="Arial"/>
          <w:b/>
          <w:sz w:val="24"/>
          <w:szCs w:val="24"/>
        </w:rPr>
      </w:pPr>
      <w:r>
        <w:rPr>
          <w:rFonts w:cs="Arial"/>
          <w:b/>
          <w:sz w:val="24"/>
          <w:szCs w:val="24"/>
        </w:rPr>
        <w:t>22. PRAZOS E CONDIÇÕES DE PAGAMENTO:</w:t>
      </w:r>
    </w:p>
    <w:p w:rsidR="00870E71" w:rsidRDefault="00870E71" w:rsidP="00870E71">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870E71" w:rsidRDefault="00870E71" w:rsidP="00870E71">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870E71" w:rsidRDefault="00870E71" w:rsidP="00870E71">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O pagamento será efetuado no prazo de máximo de 30 ( trinta ) dias úteis da entrega total dos Equipamentos.</w:t>
      </w:r>
    </w:p>
    <w:p w:rsidR="00870E71" w:rsidRDefault="00870E71" w:rsidP="00870E71">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Ocorrendo atraso no pagamento, os valores serão corrigidos monetariamente pelo índice IPCA do período, ou outro índice que vier a substituí-lo, e a Administração compensará a contratada com juros de 0,5% ao mês, pro rata.</w:t>
      </w:r>
      <w:r>
        <w:rPr>
          <w:rFonts w:cs="Arial"/>
          <w:b/>
          <w:sz w:val="24"/>
          <w:szCs w:val="24"/>
        </w:rPr>
        <w:t xml:space="preserve"> </w:t>
      </w:r>
    </w:p>
    <w:p w:rsidR="00870E71" w:rsidRDefault="00870E71" w:rsidP="00870E71">
      <w:pPr>
        <w:tabs>
          <w:tab w:val="left" w:pos="1134"/>
        </w:tabs>
        <w:spacing w:line="360" w:lineRule="auto"/>
        <w:jc w:val="both"/>
        <w:rPr>
          <w:rFonts w:cs="Arial"/>
          <w:sz w:val="24"/>
          <w:szCs w:val="24"/>
        </w:rPr>
      </w:pPr>
    </w:p>
    <w:p w:rsidR="00870E71" w:rsidRDefault="00870E71" w:rsidP="00870E71">
      <w:pPr>
        <w:tabs>
          <w:tab w:val="left" w:pos="1134"/>
        </w:tabs>
        <w:spacing w:line="360" w:lineRule="auto"/>
        <w:jc w:val="both"/>
        <w:rPr>
          <w:rFonts w:cs="Arial"/>
          <w:b/>
          <w:sz w:val="24"/>
          <w:szCs w:val="24"/>
        </w:rPr>
      </w:pPr>
      <w:r>
        <w:rPr>
          <w:rFonts w:cs="Arial"/>
          <w:b/>
          <w:sz w:val="24"/>
          <w:szCs w:val="24"/>
        </w:rPr>
        <w:t>23. SANÇÕES ADMINISTRATIVAS</w:t>
      </w:r>
    </w:p>
    <w:p w:rsidR="00870E71" w:rsidRDefault="00870E71" w:rsidP="00870E71">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870E71" w:rsidRDefault="00870E71" w:rsidP="00870E71">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870E71" w:rsidRDefault="00870E71" w:rsidP="00870E71">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870E71" w:rsidRDefault="00870E71" w:rsidP="00870E71">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870E71" w:rsidRDefault="00870E71" w:rsidP="00870E71">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lastRenderedPageBreak/>
        <w:t>d)</w:t>
      </w:r>
      <w:r>
        <w:rPr>
          <w:rFonts w:ascii="Arial" w:hAnsi="Arial" w:cs="Arial"/>
        </w:rPr>
        <w:t xml:space="preserve"> deixar de entregar a documentação exigida para o certame;</w:t>
      </w:r>
    </w:p>
    <w:p w:rsidR="00870E71" w:rsidRDefault="00870E71" w:rsidP="00870E71">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870E71" w:rsidRDefault="00870E71" w:rsidP="00870E71">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870E71" w:rsidRDefault="00870E71" w:rsidP="00870E71">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t>g)</w:t>
      </w:r>
      <w:r>
        <w:rPr>
          <w:rFonts w:ascii="Arial" w:hAnsi="Arial" w:cs="Arial"/>
        </w:rPr>
        <w:t xml:space="preserve"> ensejar o retardamento da execução ou da entrega do objeto da licitação sem motivo justificado;</w:t>
      </w:r>
    </w:p>
    <w:p w:rsidR="00870E71" w:rsidRDefault="00870E71" w:rsidP="00870E71">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870E71" w:rsidRDefault="00870E71" w:rsidP="00870E71">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870E71" w:rsidRDefault="00870E71" w:rsidP="00870E71">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870E71" w:rsidRDefault="00870E71" w:rsidP="00870E71">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870E71" w:rsidRDefault="00870E71" w:rsidP="00870E71">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870E71" w:rsidRDefault="00870E71" w:rsidP="00870E71">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4"/>
      </w:r>
      <w:r>
        <w:rPr>
          <w:rFonts w:ascii="Arial" w:hAnsi="Arial" w:cs="Arial"/>
        </w:rPr>
        <w:t>:</w:t>
      </w:r>
    </w:p>
    <w:p w:rsidR="00870E71" w:rsidRDefault="00870E71" w:rsidP="00870E71">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870E71" w:rsidRDefault="00870E71" w:rsidP="00870E71">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870E71" w:rsidRDefault="00870E71" w:rsidP="00870E71">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870E71" w:rsidRDefault="00870E71" w:rsidP="00870E71">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870E71" w:rsidRDefault="00870E71" w:rsidP="00870E71">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lastRenderedPageBreak/>
        <w:t>23.3</w:t>
      </w:r>
      <w:r>
        <w:rPr>
          <w:rFonts w:ascii="Arial" w:hAnsi="Arial" w:cs="Arial"/>
        </w:rPr>
        <w:t xml:space="preserve"> As sanções previstas nas alíneas “a”, “c” e “d” do item 23.2. do presente Edital poderão ser aplicadas cumulativamente com a prevista na alínea “b” do mesmo item.</w:t>
      </w:r>
    </w:p>
    <w:p w:rsidR="00870E71" w:rsidRDefault="00870E71" w:rsidP="00870E71">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870E71" w:rsidRDefault="00870E71" w:rsidP="00870E71">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870E71" w:rsidRDefault="00870E71" w:rsidP="00870E71">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deste Edital não exclui, em hipótese alguma, a obrigação de reparação integral do dano causado à Administração Pública.</w:t>
      </w:r>
    </w:p>
    <w:p w:rsidR="00870E71" w:rsidRDefault="00870E71" w:rsidP="00870E71">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870E71" w:rsidRDefault="00870E71" w:rsidP="00870E71">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870E71" w:rsidRDefault="00870E71" w:rsidP="00870E71">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870E71" w:rsidRDefault="00870E71" w:rsidP="00870E71">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870E71" w:rsidRDefault="00870E71" w:rsidP="00870E71">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w:t>
      </w:r>
      <w:r>
        <w:rPr>
          <w:rFonts w:ascii="Arial" w:hAnsi="Arial" w:cs="Arial"/>
        </w:rPr>
        <w:lastRenderedPageBreak/>
        <w:t>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870E71" w:rsidRDefault="00870E71" w:rsidP="00870E71">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870E71" w:rsidRDefault="00870E71" w:rsidP="00870E71">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t>a)</w:t>
      </w:r>
      <w:r>
        <w:rPr>
          <w:rFonts w:ascii="Arial" w:hAnsi="Arial" w:cs="Arial"/>
        </w:rPr>
        <w:t xml:space="preserve"> reparação integral do dano causado à Administração Pública;</w:t>
      </w:r>
    </w:p>
    <w:p w:rsidR="00870E71" w:rsidRDefault="00870E71" w:rsidP="00870E71">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870E71" w:rsidRDefault="00870E71" w:rsidP="00870E71">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870E71" w:rsidRDefault="00870E71" w:rsidP="00870E71">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870E71" w:rsidRDefault="00870E71" w:rsidP="00870E71">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870E71" w:rsidRDefault="00870E71" w:rsidP="00870E71">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870E71" w:rsidRDefault="00870E71" w:rsidP="00870E71">
      <w:pPr>
        <w:tabs>
          <w:tab w:val="left" w:pos="1134"/>
        </w:tabs>
        <w:spacing w:line="360" w:lineRule="auto"/>
        <w:jc w:val="both"/>
        <w:rPr>
          <w:rFonts w:cs="Arial"/>
          <w:b/>
          <w:sz w:val="24"/>
          <w:szCs w:val="24"/>
        </w:rPr>
      </w:pPr>
    </w:p>
    <w:p w:rsidR="00870E71" w:rsidRDefault="00870E71" w:rsidP="00870E71">
      <w:pPr>
        <w:tabs>
          <w:tab w:val="left" w:pos="1134"/>
        </w:tabs>
        <w:spacing w:line="360" w:lineRule="auto"/>
        <w:jc w:val="both"/>
        <w:rPr>
          <w:rFonts w:cs="Arial"/>
          <w:b/>
          <w:sz w:val="24"/>
          <w:szCs w:val="24"/>
        </w:rPr>
      </w:pPr>
      <w:r>
        <w:rPr>
          <w:rFonts w:cs="Arial"/>
          <w:b/>
          <w:sz w:val="24"/>
          <w:szCs w:val="24"/>
        </w:rPr>
        <w:t>24. PEDIDOS DE ESCLARECIMENTOS E IMPUGNAÇÕES</w:t>
      </w:r>
    </w:p>
    <w:p w:rsidR="00870E71" w:rsidRDefault="00870E71" w:rsidP="00870E71">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870E71" w:rsidRDefault="00870E71" w:rsidP="00870E71">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870E71" w:rsidRDefault="00870E71" w:rsidP="00870E71">
      <w:pPr>
        <w:spacing w:line="360" w:lineRule="auto"/>
        <w:jc w:val="both"/>
        <w:rPr>
          <w:rFonts w:cs="Arial"/>
          <w:sz w:val="24"/>
          <w:szCs w:val="24"/>
        </w:rPr>
      </w:pPr>
    </w:p>
    <w:p w:rsidR="00870E71" w:rsidRDefault="00870E71" w:rsidP="00870E71">
      <w:pPr>
        <w:tabs>
          <w:tab w:val="left" w:pos="1134"/>
        </w:tabs>
        <w:spacing w:line="360" w:lineRule="auto"/>
        <w:jc w:val="both"/>
        <w:rPr>
          <w:rFonts w:cs="Arial"/>
          <w:b/>
          <w:sz w:val="24"/>
          <w:szCs w:val="24"/>
        </w:rPr>
      </w:pPr>
      <w:r>
        <w:rPr>
          <w:rFonts w:cs="Arial"/>
          <w:b/>
          <w:sz w:val="24"/>
          <w:szCs w:val="24"/>
        </w:rPr>
        <w:lastRenderedPageBreak/>
        <w:t>25. DAS DISPOSIÇÕES GERAIS:</w:t>
      </w:r>
    </w:p>
    <w:p w:rsidR="00870E71" w:rsidRDefault="00870E71" w:rsidP="00870E71">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870E71" w:rsidRDefault="00870E71" w:rsidP="00870E71">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870E71" w:rsidRDefault="00870E71" w:rsidP="00870E71">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870E71" w:rsidRDefault="00870E71" w:rsidP="00870E71">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870E71" w:rsidRDefault="00870E71" w:rsidP="00870E71">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870E71" w:rsidRDefault="00870E71" w:rsidP="00870E71">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870E71" w:rsidRDefault="00870E71" w:rsidP="00870E71">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870E71" w:rsidRDefault="00870E71" w:rsidP="00870E71">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870E71" w:rsidRDefault="00870E71" w:rsidP="00870E71">
      <w:pPr>
        <w:pStyle w:val="Nivel2"/>
        <w:numPr>
          <w:ilvl w:val="0"/>
          <w:numId w:val="0"/>
        </w:numPr>
        <w:spacing w:before="0" w:after="0" w:line="360" w:lineRule="auto"/>
        <w:rPr>
          <w:sz w:val="24"/>
          <w:szCs w:val="24"/>
        </w:rPr>
      </w:pPr>
      <w:r>
        <w:rPr>
          <w:b/>
          <w:bCs/>
          <w:sz w:val="24"/>
          <w:szCs w:val="24"/>
        </w:rPr>
        <w:lastRenderedPageBreak/>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870E71" w:rsidRDefault="00870E71" w:rsidP="00870E71">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870E71" w:rsidRDefault="00870E71" w:rsidP="00870E71">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870E71" w:rsidRDefault="00870E71" w:rsidP="00870E71">
      <w:pPr>
        <w:pStyle w:val="Nivel2"/>
        <w:numPr>
          <w:ilvl w:val="0"/>
          <w:numId w:val="0"/>
        </w:numPr>
        <w:spacing w:before="0" w:after="0" w:line="360" w:lineRule="auto"/>
        <w:rPr>
          <w:sz w:val="24"/>
          <w:szCs w:val="24"/>
        </w:rPr>
      </w:pPr>
    </w:p>
    <w:p w:rsidR="00870E71" w:rsidRDefault="00870E71" w:rsidP="00870E71">
      <w:pPr>
        <w:tabs>
          <w:tab w:val="left" w:pos="1134"/>
        </w:tabs>
        <w:spacing w:line="360" w:lineRule="auto"/>
        <w:jc w:val="center"/>
        <w:rPr>
          <w:rFonts w:cs="Arial"/>
          <w:b/>
          <w:bCs/>
          <w:sz w:val="24"/>
          <w:szCs w:val="24"/>
        </w:rPr>
      </w:pPr>
      <w:r>
        <w:rPr>
          <w:rFonts w:cs="Arial"/>
          <w:b/>
          <w:bCs/>
          <w:sz w:val="24"/>
          <w:szCs w:val="24"/>
        </w:rPr>
        <w:t xml:space="preserve">Santo Antônio das Missões-RS, 16 de </w:t>
      </w:r>
      <w:r w:rsidR="005345C2">
        <w:rPr>
          <w:rFonts w:cs="Arial"/>
          <w:b/>
          <w:bCs/>
          <w:sz w:val="24"/>
          <w:szCs w:val="24"/>
        </w:rPr>
        <w:t>abril</w:t>
      </w:r>
      <w:r>
        <w:rPr>
          <w:rFonts w:cs="Arial"/>
          <w:b/>
          <w:bCs/>
          <w:sz w:val="24"/>
          <w:szCs w:val="24"/>
        </w:rPr>
        <w:t xml:space="preserve"> de 2026.</w:t>
      </w:r>
    </w:p>
    <w:p w:rsidR="00870E71" w:rsidRDefault="00870E71" w:rsidP="00870E71">
      <w:pPr>
        <w:tabs>
          <w:tab w:val="left" w:pos="1134"/>
        </w:tabs>
        <w:spacing w:line="360" w:lineRule="auto"/>
        <w:jc w:val="both"/>
        <w:rPr>
          <w:rFonts w:cs="Arial"/>
          <w:b/>
          <w:bCs/>
          <w:sz w:val="24"/>
          <w:szCs w:val="24"/>
        </w:rPr>
      </w:pPr>
    </w:p>
    <w:p w:rsidR="00870E71" w:rsidRDefault="00870E71" w:rsidP="00870E71">
      <w:pPr>
        <w:pStyle w:val="Corpodetexto"/>
        <w:jc w:val="center"/>
        <w:rPr>
          <w:sz w:val="24"/>
          <w:szCs w:val="24"/>
        </w:rPr>
      </w:pPr>
      <w:r>
        <w:rPr>
          <w:sz w:val="24"/>
          <w:szCs w:val="24"/>
        </w:rPr>
        <w:t>_________________________________________</w:t>
      </w:r>
    </w:p>
    <w:p w:rsidR="00870E71" w:rsidRDefault="00870E71" w:rsidP="00870E71">
      <w:pPr>
        <w:pStyle w:val="Corpodetexto"/>
        <w:jc w:val="center"/>
        <w:rPr>
          <w:sz w:val="24"/>
          <w:szCs w:val="24"/>
        </w:rPr>
      </w:pPr>
      <w:r>
        <w:rPr>
          <w:sz w:val="24"/>
          <w:szCs w:val="24"/>
        </w:rPr>
        <w:t>FELISBERTO DOS SANTOS FERREIRA</w:t>
      </w:r>
    </w:p>
    <w:p w:rsidR="00870E71" w:rsidRDefault="00870E71" w:rsidP="00870E71">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70E71" w:rsidRDefault="00870E71" w:rsidP="00870E71">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870E71" w:rsidRDefault="00870E71" w:rsidP="00870E71">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870E71" w:rsidRDefault="00870E71" w:rsidP="00870E71">
                            <w:pPr>
                              <w:pStyle w:val="Corpodetexto"/>
                              <w:rPr>
                                <w:sz w:val="24"/>
                              </w:rPr>
                            </w:pPr>
                          </w:p>
                          <w:p w:rsidR="00870E71" w:rsidRDefault="00870E71" w:rsidP="00870E71">
                            <w:pPr>
                              <w:pStyle w:val="Corpodetexto"/>
                              <w:rPr>
                                <w:sz w:val="24"/>
                              </w:rPr>
                            </w:pPr>
                          </w:p>
                          <w:p w:rsidR="00870E71" w:rsidRDefault="00870E71" w:rsidP="00870E71">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870E71" w:rsidRDefault="00870E71" w:rsidP="00870E71">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870E71" w:rsidRDefault="00870E71" w:rsidP="00870E71">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870E71" w:rsidRDefault="00870E71" w:rsidP="00870E71">
                      <w:pPr>
                        <w:pStyle w:val="Corpodetexto"/>
                        <w:rPr>
                          <w:sz w:val="24"/>
                        </w:rPr>
                      </w:pPr>
                    </w:p>
                    <w:p w:rsidR="00870E71" w:rsidRDefault="00870E71" w:rsidP="00870E71">
                      <w:pPr>
                        <w:pStyle w:val="Corpodetexto"/>
                        <w:rPr>
                          <w:sz w:val="24"/>
                        </w:rPr>
                      </w:pPr>
                    </w:p>
                    <w:p w:rsidR="00870E71" w:rsidRDefault="00870E71" w:rsidP="00870E71">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73D9F1"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Pr>
          <w:sz w:val="24"/>
          <w:szCs w:val="24"/>
        </w:rPr>
        <w:t xml:space="preserve"> </w:t>
      </w:r>
    </w:p>
    <w:p w:rsidR="00870E71" w:rsidRDefault="00870E71" w:rsidP="00870E71">
      <w:pPr>
        <w:pStyle w:val="Corpodetexto"/>
        <w:jc w:val="center"/>
        <w:rPr>
          <w:sz w:val="24"/>
          <w:szCs w:val="24"/>
        </w:rPr>
      </w:pPr>
    </w:p>
    <w:p w:rsidR="00870E71" w:rsidRDefault="00870E71" w:rsidP="00870E71">
      <w:pPr>
        <w:pStyle w:val="Corpodetexto"/>
        <w:rPr>
          <w:sz w:val="24"/>
          <w:szCs w:val="24"/>
        </w:rPr>
      </w:pPr>
    </w:p>
    <w:p w:rsidR="00870E71" w:rsidRDefault="00870E71" w:rsidP="00870E71">
      <w:pPr>
        <w:pStyle w:val="Nivel2"/>
        <w:numPr>
          <w:ilvl w:val="0"/>
          <w:numId w:val="0"/>
        </w:numPr>
        <w:spacing w:before="0" w:after="0" w:line="360" w:lineRule="auto"/>
        <w:rPr>
          <w:rFonts w:eastAsia="Times New Roman"/>
          <w:sz w:val="24"/>
          <w:szCs w:val="24"/>
        </w:rPr>
      </w:pPr>
    </w:p>
    <w:p w:rsidR="00870E71" w:rsidRDefault="00870E71" w:rsidP="00870E71">
      <w:pPr>
        <w:tabs>
          <w:tab w:val="left" w:pos="1134"/>
        </w:tabs>
        <w:spacing w:line="360" w:lineRule="auto"/>
        <w:jc w:val="both"/>
        <w:rPr>
          <w:rFonts w:cs="Arial"/>
          <w:sz w:val="24"/>
          <w:szCs w:val="24"/>
        </w:rPr>
      </w:pPr>
    </w:p>
    <w:p w:rsidR="00870E71" w:rsidRDefault="00870E71" w:rsidP="00870E71"/>
    <w:p w:rsidR="00870E71" w:rsidRDefault="00870E71" w:rsidP="00870E71"/>
    <w:p w:rsidR="00870E71" w:rsidRDefault="00870E71" w:rsidP="00870E71"/>
    <w:p w:rsidR="00870E71" w:rsidRDefault="00870E71" w:rsidP="00870E71"/>
    <w:p w:rsidR="00870E71" w:rsidRDefault="00870E71" w:rsidP="00870E71"/>
    <w:p w:rsidR="00870E71" w:rsidRDefault="00870E71" w:rsidP="00870E71"/>
    <w:p w:rsidR="00870E71" w:rsidRDefault="00870E71" w:rsidP="00870E71"/>
    <w:p w:rsidR="00870E71" w:rsidRDefault="00870E71" w:rsidP="00870E71"/>
    <w:p w:rsidR="00870E71" w:rsidRDefault="00870E71" w:rsidP="00870E71"/>
    <w:p w:rsidR="00870E71" w:rsidRDefault="00870E71" w:rsidP="00870E71"/>
    <w:p w:rsidR="00870E71" w:rsidRDefault="00870E71" w:rsidP="00870E71"/>
    <w:p w:rsidR="00870E71" w:rsidRDefault="00870E71" w:rsidP="00870E71"/>
    <w:p w:rsidR="00870E71" w:rsidRDefault="00870E71" w:rsidP="00870E71"/>
    <w:p w:rsidR="00870E71" w:rsidRDefault="00870E71" w:rsidP="00870E71"/>
    <w:p w:rsidR="00870E71" w:rsidRDefault="00870E71" w:rsidP="00870E71">
      <w:pPr>
        <w:rPr>
          <w:b/>
        </w:rPr>
      </w:pPr>
      <w:r>
        <w:rPr>
          <w:b/>
        </w:rPr>
        <w:t xml:space="preserve">ANEXO  II </w:t>
      </w:r>
    </w:p>
    <w:p w:rsidR="00870E71" w:rsidRDefault="00870E71" w:rsidP="00870E71">
      <w:pPr>
        <w:rPr>
          <w:b/>
        </w:rPr>
      </w:pPr>
    </w:p>
    <w:p w:rsidR="00870E71" w:rsidRDefault="005345C2" w:rsidP="00870E71">
      <w:pPr>
        <w:rPr>
          <w:b/>
        </w:rPr>
      </w:pPr>
      <w:r>
        <w:rPr>
          <w:b/>
        </w:rPr>
        <w:t>PREGÃO ELETRÔNICO 023</w:t>
      </w:r>
      <w:r w:rsidR="00870E71">
        <w:rPr>
          <w:b/>
        </w:rPr>
        <w:t>-2026.</w:t>
      </w:r>
    </w:p>
    <w:p w:rsidR="00870E71" w:rsidRDefault="00870E71" w:rsidP="00870E71">
      <w:pPr>
        <w:rPr>
          <w:b/>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870E71" w:rsidTr="00870E71">
        <w:tc>
          <w:tcPr>
            <w:tcW w:w="670" w:type="dxa"/>
            <w:tcBorders>
              <w:top w:val="single" w:sz="4" w:space="0" w:color="auto"/>
              <w:left w:val="single" w:sz="4" w:space="0" w:color="auto"/>
              <w:bottom w:val="single" w:sz="4" w:space="0" w:color="auto"/>
              <w:right w:val="single" w:sz="4" w:space="0" w:color="auto"/>
            </w:tcBorders>
            <w:hideMark/>
          </w:tcPr>
          <w:p w:rsidR="00870E71" w:rsidRDefault="00870E71">
            <w:pPr>
              <w:rPr>
                <w:bCs/>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870E71" w:rsidRDefault="00870E71">
            <w:pPr>
              <w:rPr>
                <w:bCs/>
              </w:rPr>
            </w:pPr>
            <w:r>
              <w:rPr>
                <w:bCs/>
              </w:rPr>
              <w:t>Qtd. Mínima</w:t>
            </w:r>
          </w:p>
        </w:tc>
        <w:tc>
          <w:tcPr>
            <w:tcW w:w="4560" w:type="dxa"/>
            <w:tcBorders>
              <w:top w:val="single" w:sz="4" w:space="0" w:color="auto"/>
              <w:left w:val="single" w:sz="4" w:space="0" w:color="auto"/>
              <w:bottom w:val="single" w:sz="4" w:space="0" w:color="auto"/>
              <w:right w:val="single" w:sz="4" w:space="0" w:color="auto"/>
            </w:tcBorders>
            <w:hideMark/>
          </w:tcPr>
          <w:p w:rsidR="00870E71" w:rsidRDefault="00870E71">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hideMark/>
          </w:tcPr>
          <w:p w:rsidR="00870E71" w:rsidRDefault="00870E71">
            <w:pPr>
              <w:rPr>
                <w:bCs/>
              </w:rPr>
            </w:pPr>
            <w:r>
              <w:rPr>
                <w:bCs/>
              </w:rPr>
              <w:t>V. Unt</w:t>
            </w:r>
          </w:p>
        </w:tc>
      </w:tr>
      <w:tr w:rsidR="00870E71" w:rsidTr="00870E71">
        <w:tc>
          <w:tcPr>
            <w:tcW w:w="670" w:type="dxa"/>
            <w:tcBorders>
              <w:top w:val="single" w:sz="4" w:space="0" w:color="auto"/>
              <w:left w:val="single" w:sz="4" w:space="0" w:color="auto"/>
              <w:bottom w:val="single" w:sz="4" w:space="0" w:color="auto"/>
              <w:right w:val="single" w:sz="4" w:space="0" w:color="auto"/>
            </w:tcBorders>
          </w:tcPr>
          <w:p w:rsidR="00870E71" w:rsidRDefault="00870E71"/>
        </w:tc>
        <w:tc>
          <w:tcPr>
            <w:tcW w:w="1706" w:type="dxa"/>
            <w:tcBorders>
              <w:top w:val="single" w:sz="4" w:space="0" w:color="auto"/>
              <w:left w:val="single" w:sz="4" w:space="0" w:color="auto"/>
              <w:bottom w:val="single" w:sz="4" w:space="0" w:color="auto"/>
              <w:right w:val="single" w:sz="4" w:space="0" w:color="auto"/>
            </w:tcBorders>
          </w:tcPr>
          <w:p w:rsidR="00870E71" w:rsidRDefault="00870E71"/>
        </w:tc>
        <w:tc>
          <w:tcPr>
            <w:tcW w:w="4560" w:type="dxa"/>
            <w:tcBorders>
              <w:top w:val="single" w:sz="4" w:space="0" w:color="auto"/>
              <w:left w:val="single" w:sz="4" w:space="0" w:color="auto"/>
              <w:bottom w:val="single" w:sz="4" w:space="0" w:color="auto"/>
              <w:right w:val="single" w:sz="4" w:space="0" w:color="auto"/>
            </w:tcBorders>
          </w:tcPr>
          <w:p w:rsidR="00870E71" w:rsidRDefault="00870E71"/>
        </w:tc>
        <w:tc>
          <w:tcPr>
            <w:tcW w:w="1701" w:type="dxa"/>
            <w:tcBorders>
              <w:top w:val="single" w:sz="4" w:space="0" w:color="auto"/>
              <w:left w:val="single" w:sz="4" w:space="0" w:color="auto"/>
              <w:bottom w:val="single" w:sz="4" w:space="0" w:color="auto"/>
              <w:right w:val="single" w:sz="4" w:space="0" w:color="auto"/>
            </w:tcBorders>
          </w:tcPr>
          <w:p w:rsidR="00870E71" w:rsidRDefault="00870E71"/>
        </w:tc>
      </w:tr>
    </w:tbl>
    <w:p w:rsidR="00870E71" w:rsidRDefault="00870E71" w:rsidP="00870E71">
      <w:pPr>
        <w:jc w:val="both"/>
        <w:rPr>
          <w:b/>
        </w:rPr>
      </w:pPr>
    </w:p>
    <w:p w:rsidR="00870E71" w:rsidRDefault="00870E71" w:rsidP="00870E71">
      <w:pPr>
        <w:jc w:val="both"/>
        <w:rPr>
          <w:b/>
        </w:rPr>
      </w:pPr>
    </w:p>
    <w:p w:rsidR="00870E71" w:rsidRDefault="00870E71" w:rsidP="00870E71">
      <w:pPr>
        <w:jc w:val="both"/>
        <w:rPr>
          <w:b/>
        </w:rPr>
      </w:pPr>
    </w:p>
    <w:p w:rsidR="00870E71" w:rsidRDefault="00870E71" w:rsidP="00870E71">
      <w:pPr>
        <w:jc w:val="both"/>
        <w:rPr>
          <w:rFonts w:cs="Arial"/>
        </w:rPr>
      </w:pPr>
      <w:r>
        <w:rPr>
          <w:rFonts w:cs="Arial"/>
        </w:rPr>
        <w:t>Empresa:...........................................................................................................................</w:t>
      </w:r>
    </w:p>
    <w:p w:rsidR="00870E71" w:rsidRDefault="00870E71" w:rsidP="00870E71">
      <w:pPr>
        <w:jc w:val="both"/>
        <w:rPr>
          <w:rFonts w:cs="Arial"/>
        </w:rPr>
      </w:pPr>
    </w:p>
    <w:p w:rsidR="00870E71" w:rsidRDefault="00870E71" w:rsidP="00870E71">
      <w:pPr>
        <w:jc w:val="both"/>
        <w:rPr>
          <w:rFonts w:cs="Arial"/>
        </w:rPr>
      </w:pPr>
      <w:r>
        <w:rPr>
          <w:rFonts w:cs="Arial"/>
        </w:rPr>
        <w:t>CNPJ - ..............................................................................................................................</w:t>
      </w:r>
    </w:p>
    <w:p w:rsidR="00870E71" w:rsidRDefault="00870E71" w:rsidP="00870E71">
      <w:pPr>
        <w:jc w:val="both"/>
        <w:rPr>
          <w:rFonts w:cs="Arial"/>
        </w:rPr>
      </w:pPr>
    </w:p>
    <w:p w:rsidR="00870E71" w:rsidRDefault="00870E71" w:rsidP="00870E71">
      <w:pPr>
        <w:jc w:val="both"/>
        <w:rPr>
          <w:rFonts w:cs="Arial"/>
        </w:rPr>
      </w:pPr>
    </w:p>
    <w:p w:rsidR="00870E71" w:rsidRDefault="00870E71" w:rsidP="00870E71">
      <w:pPr>
        <w:jc w:val="both"/>
        <w:rPr>
          <w:rFonts w:cs="Arial"/>
        </w:rPr>
      </w:pPr>
      <w:r>
        <w:rPr>
          <w:rFonts w:cs="Arial"/>
        </w:rPr>
        <w:t>Valor R$ -..................................................................................................................</w:t>
      </w:r>
    </w:p>
    <w:p w:rsidR="00870E71" w:rsidRDefault="00870E71" w:rsidP="00870E71">
      <w:pPr>
        <w:jc w:val="both"/>
        <w:rPr>
          <w:rFonts w:cs="Arial"/>
        </w:rPr>
      </w:pPr>
    </w:p>
    <w:p w:rsidR="00870E71" w:rsidRDefault="00870E71" w:rsidP="00870E71">
      <w:pPr>
        <w:jc w:val="both"/>
        <w:rPr>
          <w:rFonts w:cs="Arial"/>
        </w:rPr>
      </w:pPr>
    </w:p>
    <w:p w:rsidR="00870E71" w:rsidRDefault="00870E71" w:rsidP="00870E71">
      <w:pPr>
        <w:jc w:val="both"/>
        <w:rPr>
          <w:rFonts w:cs="Arial"/>
        </w:rPr>
      </w:pPr>
    </w:p>
    <w:p w:rsidR="00870E71" w:rsidRDefault="00870E71" w:rsidP="00870E71">
      <w:pPr>
        <w:jc w:val="both"/>
        <w:rPr>
          <w:rFonts w:cs="Arial"/>
        </w:rPr>
      </w:pPr>
      <w:r>
        <w:rPr>
          <w:rFonts w:cs="Arial"/>
        </w:rPr>
        <w:t>Data:</w:t>
      </w:r>
    </w:p>
    <w:p w:rsidR="00870E71" w:rsidRDefault="00870E71" w:rsidP="00870E71">
      <w:pPr>
        <w:jc w:val="both"/>
        <w:rPr>
          <w:rFonts w:cs="Arial"/>
        </w:rPr>
      </w:pPr>
    </w:p>
    <w:p w:rsidR="00870E71" w:rsidRDefault="00870E71" w:rsidP="00870E71">
      <w:pPr>
        <w:jc w:val="both"/>
        <w:rPr>
          <w:rFonts w:cs="Arial"/>
        </w:rPr>
      </w:pPr>
    </w:p>
    <w:p w:rsidR="00870E71" w:rsidRDefault="00870E71" w:rsidP="00870E71">
      <w:pPr>
        <w:jc w:val="both"/>
        <w:rPr>
          <w:rFonts w:cs="Arial"/>
        </w:rPr>
      </w:pPr>
    </w:p>
    <w:p w:rsidR="00870E71" w:rsidRDefault="00870E71" w:rsidP="00870E71">
      <w:pPr>
        <w:jc w:val="both"/>
        <w:rPr>
          <w:rFonts w:cs="Arial"/>
        </w:rPr>
      </w:pPr>
    </w:p>
    <w:p w:rsidR="00870E71" w:rsidRDefault="00870E71" w:rsidP="00870E71">
      <w:pPr>
        <w:jc w:val="both"/>
        <w:rPr>
          <w:rFonts w:cs="Arial"/>
        </w:rPr>
      </w:pPr>
      <w:r>
        <w:rPr>
          <w:rFonts w:cs="Arial"/>
        </w:rPr>
        <w:t>______________________________</w:t>
      </w:r>
    </w:p>
    <w:p w:rsidR="00870E71" w:rsidRDefault="00870E71" w:rsidP="00870E71"/>
    <w:p w:rsidR="00870E71" w:rsidRDefault="00870E71" w:rsidP="00870E71"/>
    <w:p w:rsidR="00870E71" w:rsidRDefault="00870E71" w:rsidP="00870E71"/>
    <w:p w:rsidR="00870E71" w:rsidRDefault="00870E71" w:rsidP="00870E71"/>
    <w:p w:rsidR="00870E71" w:rsidRDefault="00870E71" w:rsidP="00870E71"/>
    <w:p w:rsidR="00870E71" w:rsidRDefault="00870E71" w:rsidP="00870E71"/>
    <w:p w:rsidR="00870E71" w:rsidRDefault="00870E71" w:rsidP="00870E71"/>
    <w:p w:rsidR="00870E71" w:rsidRDefault="00870E71" w:rsidP="00870E71"/>
    <w:p w:rsidR="009F6905" w:rsidRDefault="009F6905"/>
    <w:sectPr w:rsidR="009F6905" w:rsidSect="00870E71">
      <w:headerReference w:type="default" r:id="rId11"/>
      <w:pgSz w:w="11906" w:h="16838"/>
      <w:pgMar w:top="340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1755" w:rsidRDefault="00341755" w:rsidP="00870E71">
      <w:r>
        <w:separator/>
      </w:r>
    </w:p>
  </w:endnote>
  <w:endnote w:type="continuationSeparator" w:id="0">
    <w:p w:rsidR="00341755" w:rsidRDefault="00341755" w:rsidP="00870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Normal">
    <w:panose1 w:val="00000000000000000000"/>
    <w:charset w:val="00"/>
    <w:family w:val="auto"/>
    <w:notTrueType/>
    <w:pitch w:val="default"/>
    <w:sig w:usb0="00000003" w:usb1="00000000" w:usb2="00000000" w:usb3="00000000" w:csb0="00000001" w:csb1="00000000"/>
  </w:font>
  <w:font w:name="ArialNegrito">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1755" w:rsidRDefault="00341755" w:rsidP="00870E71">
      <w:r>
        <w:separator/>
      </w:r>
    </w:p>
  </w:footnote>
  <w:footnote w:type="continuationSeparator" w:id="0">
    <w:p w:rsidR="00341755" w:rsidRDefault="00341755" w:rsidP="00870E71">
      <w:r>
        <w:continuationSeparator/>
      </w:r>
    </w:p>
  </w:footnote>
  <w:footnote w:id="1">
    <w:p w:rsidR="00870E71" w:rsidRDefault="00870E71" w:rsidP="00870E71">
      <w:pPr>
        <w:pStyle w:val="Textodenotaderodap"/>
        <w:rPr>
          <w:rFonts w:ascii="Arial" w:hAnsi="Arial" w:cs="Arial"/>
          <w:color w:val="FF0000"/>
          <w:lang w:val="en-US"/>
        </w:rPr>
      </w:pPr>
    </w:p>
  </w:footnote>
  <w:footnote w:id="2">
    <w:p w:rsidR="00870E71" w:rsidRDefault="00870E71" w:rsidP="00870E71">
      <w:pPr>
        <w:pStyle w:val="Textodenotaderodap"/>
        <w:rPr>
          <w:rFonts w:ascii="Arial" w:hAnsi="Arial" w:cs="Arial"/>
        </w:rPr>
      </w:pPr>
    </w:p>
    <w:p w:rsidR="00870E71" w:rsidRDefault="00870E71" w:rsidP="00870E71">
      <w:pPr>
        <w:pStyle w:val="Textodenotaderodap"/>
        <w:rPr>
          <w:sz w:val="16"/>
          <w:szCs w:val="16"/>
        </w:rPr>
      </w:pPr>
    </w:p>
  </w:footnote>
  <w:footnote w:id="3">
    <w:p w:rsidR="00870E71" w:rsidRDefault="00870E71" w:rsidP="00870E71">
      <w:pPr>
        <w:pStyle w:val="Textodenotaderodap"/>
        <w:rPr>
          <w:rFonts w:ascii="Arial" w:hAnsi="Arial" w:cs="Arial"/>
          <w:color w:val="FF0000"/>
          <w:lang w:val="en-US"/>
        </w:rPr>
      </w:pPr>
    </w:p>
  </w:footnote>
  <w:footnote w:id="4">
    <w:p w:rsidR="00870E71" w:rsidRDefault="00870E71" w:rsidP="00870E71">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870E71" w:rsidRDefault="00870E71" w:rsidP="00870E71">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51A6" w:rsidRPr="00192798" w:rsidRDefault="00AA51A6" w:rsidP="00AA51A6">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7C001215" wp14:editId="29C2AF75">
              <wp:simplePos x="0" y="0"/>
              <wp:positionH relativeFrom="column">
                <wp:posOffset>914400</wp:posOffset>
              </wp:positionH>
              <wp:positionV relativeFrom="paragraph">
                <wp:posOffset>7620</wp:posOffset>
              </wp:positionV>
              <wp:extent cx="4457700" cy="1028700"/>
              <wp:effectExtent l="0" t="0" r="0" b="1905"/>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51A6" w:rsidRDefault="00AA51A6" w:rsidP="00AA51A6">
                          <w:pPr>
                            <w:jc w:val="center"/>
                          </w:pPr>
                        </w:p>
                        <w:p w:rsidR="00AA51A6" w:rsidRPr="00553BF7" w:rsidRDefault="00AA51A6" w:rsidP="00AA51A6">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AA51A6" w:rsidRDefault="00AA51A6" w:rsidP="00AA51A6">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001215"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0BhQIAABYFAAAOAAAAZHJzL2Uyb0RvYy54bWysVNtu2zAMfR+wfxD0nvoC52KjTtEmyzCg&#10;uwDdPkCx5FiYLWqSErsb9u+j5CRNdwGGYX6wRZM6InkOdX0zdC05CGMlqJImVzElQlXApdqV9NPH&#10;zWRBiXVMcdaCEiV9FJbeLF++uO51IVJooOXCEARRtuh1SRvndBFFtmpEx+wVaKHQWYPpmEPT7CJu&#10;WI/oXRulcTyLejBcG6iEtfh3PTrpMuDXtajc+7q2wpG2pJibC28T3lv/jpbXrNgZphtZHdNg/5BF&#10;x6TCQ89Qa+YY2Rv5C1QnKwMWandVQRdBXctKhBqwmiT+qZqHhmkRasHmWH1uk/1/sNW7wwdDJC9p&#10;RoliHVK0YnJghAvixOCAJL5HvbYFhj5oDHbDHQzIdajX6nuoPluiYNUwtRO3xkDfCMYxx7Azutg6&#10;4lgPsu3fAsfD2N5BABpq0/kGYksIoiNXj2d+MA9S4c8sm87nMboq9CVxuvAGZhex4rRdG+teC+iI&#10;X5TUoAACPDvcWzeGnkL8aRZayTeybYNhdttVa8iBoVg24TmiPwtrlQ9W4LeNiOMfzBLP8D6fbyD/&#10;W56kWXyX5pPNbDGfZJtsOsnn8WISJ/ldPouzPFtvvvsEk6xoJOdC3UslTkJMsr8j+jgSo4SCFElf&#10;0nyaTkeO/lhkHJ7fFdlJh3PZyq6ki3MQKzyzrxTHslnhmGzHdfQ8/UAI9uD0DV0JOvDUjyJww3ZA&#10;FC+OLfBHVIQB5Au5xcsEFw2Yr5T0OJgltV/2zAhK2jcKVZUnWeYnORgoiBQNc+nZXnqYqhCqpI6S&#10;cbly4/TvtZG7Bk8adazgFpVYy6CRp6ywBG/g8IVijheFn+5LO0Q9XWf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f1CN&#10;AYUCAAAWBQAADgAAAAAAAAAAAAAAAAAuAgAAZHJzL2Uyb0RvYy54bWxQSwECLQAUAAYACAAAACEA&#10;dXZK3NwAAAAJAQAADwAAAAAAAAAAAAAAAADfBAAAZHJzL2Rvd25yZXYueG1sUEsFBgAAAAAEAAQA&#10;8wAAAOgFAAAAAA==&#10;" stroked="f">
              <v:textbox>
                <w:txbxContent>
                  <w:p w:rsidR="00AA51A6" w:rsidRDefault="00AA51A6" w:rsidP="00AA51A6">
                    <w:pPr>
                      <w:jc w:val="center"/>
                    </w:pPr>
                  </w:p>
                  <w:p w:rsidR="00AA51A6" w:rsidRPr="00553BF7" w:rsidRDefault="00AA51A6" w:rsidP="00AA51A6">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AA51A6" w:rsidRDefault="00AA51A6" w:rsidP="00AA51A6">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99.75pt">
          <v:imagedata r:id="rId1" o:title=""/>
        </v:shape>
        <o:OLEObject Type="Embed" ProgID="PBrush" ShapeID="_x0000_i1025" DrawAspect="Content" ObjectID="_1837851844" r:id="rId2"/>
      </w:object>
    </w:r>
  </w:p>
  <w:p w:rsidR="00AA51A6" w:rsidRDefault="00AA51A6">
    <w:pPr>
      <w:pStyle w:val="Cabealho"/>
    </w:pPr>
  </w:p>
  <w:p w:rsidR="00AA51A6" w:rsidRDefault="00AA51A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E71"/>
    <w:rsid w:val="002B48F1"/>
    <w:rsid w:val="00341755"/>
    <w:rsid w:val="005345C2"/>
    <w:rsid w:val="00870E71"/>
    <w:rsid w:val="008D65A6"/>
    <w:rsid w:val="009F6905"/>
    <w:rsid w:val="00AA51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5D33A"/>
  <w15:chartTrackingRefBased/>
  <w15:docId w15:val="{6152E056-5262-42A6-A1BF-E653F60A0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E71"/>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870E7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870E71"/>
    <w:rPr>
      <w:color w:val="0000FF"/>
      <w:u w:val="single"/>
    </w:rPr>
  </w:style>
  <w:style w:type="paragraph" w:styleId="NormalWeb">
    <w:name w:val="Normal (Web)"/>
    <w:basedOn w:val="Normal"/>
    <w:uiPriority w:val="99"/>
    <w:semiHidden/>
    <w:unhideWhenUsed/>
    <w:rsid w:val="00870E71"/>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870E71"/>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870E71"/>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870E71"/>
    <w:pPr>
      <w:spacing w:after="120"/>
    </w:pPr>
  </w:style>
  <w:style w:type="character" w:customStyle="1" w:styleId="CorpodetextoChar">
    <w:name w:val="Corpo de texto Char"/>
    <w:basedOn w:val="Fontepargpadro"/>
    <w:link w:val="Corpodetexto"/>
    <w:uiPriority w:val="99"/>
    <w:semiHidden/>
    <w:rsid w:val="00870E71"/>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870E71"/>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870E71"/>
    <w:rPr>
      <w:rFonts w:ascii="Arial" w:eastAsia="Times New Roman" w:hAnsi="Arial" w:cs="Times New Roman"/>
      <w:szCs w:val="20"/>
    </w:rPr>
  </w:style>
  <w:style w:type="paragraph" w:customStyle="1" w:styleId="Textoembloco1">
    <w:name w:val="Texto em bloco1"/>
    <w:basedOn w:val="Normal"/>
    <w:uiPriority w:val="99"/>
    <w:semiHidden/>
    <w:rsid w:val="00870E71"/>
    <w:pPr>
      <w:ind w:left="4253" w:right="57" w:firstLine="1134"/>
      <w:jc w:val="both"/>
    </w:pPr>
    <w:rPr>
      <w:i/>
      <w:spacing w:val="14"/>
    </w:rPr>
  </w:style>
  <w:style w:type="paragraph" w:customStyle="1" w:styleId="Default">
    <w:name w:val="Default"/>
    <w:uiPriority w:val="99"/>
    <w:semiHidden/>
    <w:rsid w:val="00870E71"/>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870E71"/>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870E71"/>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870E71"/>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870E71"/>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870E71"/>
    <w:pPr>
      <w:numPr>
        <w:ilvl w:val="3"/>
      </w:numPr>
      <w:ind w:left="851" w:firstLine="0"/>
    </w:pPr>
    <w:rPr>
      <w:color w:val="auto"/>
    </w:rPr>
  </w:style>
  <w:style w:type="paragraph" w:customStyle="1" w:styleId="Nivel5">
    <w:name w:val="Nivel 5"/>
    <w:basedOn w:val="Nivel4"/>
    <w:uiPriority w:val="99"/>
    <w:semiHidden/>
    <w:qFormat/>
    <w:rsid w:val="00870E71"/>
    <w:pPr>
      <w:numPr>
        <w:ilvl w:val="4"/>
      </w:numPr>
      <w:ind w:left="851" w:firstLine="0"/>
    </w:pPr>
  </w:style>
  <w:style w:type="character" w:styleId="Refdenotaderodap">
    <w:name w:val="footnote reference"/>
    <w:uiPriority w:val="99"/>
    <w:semiHidden/>
    <w:unhideWhenUsed/>
    <w:rsid w:val="00870E71"/>
    <w:rPr>
      <w:vertAlign w:val="superscript"/>
    </w:rPr>
  </w:style>
  <w:style w:type="table" w:styleId="Tabelacomgrade">
    <w:name w:val="Table Grid"/>
    <w:basedOn w:val="Tabelanormal"/>
    <w:uiPriority w:val="59"/>
    <w:rsid w:val="00870E7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870E71"/>
    <w:rPr>
      <w:rFonts w:asciiTheme="majorHAnsi" w:eastAsiaTheme="majorEastAsia" w:hAnsiTheme="majorHAnsi" w:cstheme="majorBidi"/>
      <w:color w:val="2E74B5" w:themeColor="accent1" w:themeShade="BF"/>
      <w:sz w:val="32"/>
      <w:szCs w:val="32"/>
    </w:rPr>
  </w:style>
  <w:style w:type="paragraph" w:styleId="Cabealho">
    <w:name w:val="header"/>
    <w:basedOn w:val="Normal"/>
    <w:link w:val="CabealhoChar"/>
    <w:uiPriority w:val="99"/>
    <w:unhideWhenUsed/>
    <w:rsid w:val="00AA51A6"/>
    <w:pPr>
      <w:tabs>
        <w:tab w:val="center" w:pos="4252"/>
        <w:tab w:val="right" w:pos="8504"/>
      </w:tabs>
    </w:pPr>
  </w:style>
  <w:style w:type="character" w:customStyle="1" w:styleId="CabealhoChar">
    <w:name w:val="Cabeçalho Char"/>
    <w:basedOn w:val="Fontepargpadro"/>
    <w:link w:val="Cabealho"/>
    <w:uiPriority w:val="99"/>
    <w:rsid w:val="00AA51A6"/>
    <w:rPr>
      <w:rFonts w:ascii="Arial" w:eastAsia="Times New Roman" w:hAnsi="Arial" w:cs="Times New Roman"/>
      <w:szCs w:val="20"/>
    </w:rPr>
  </w:style>
  <w:style w:type="paragraph" w:styleId="Rodap">
    <w:name w:val="footer"/>
    <w:basedOn w:val="Normal"/>
    <w:link w:val="RodapChar"/>
    <w:uiPriority w:val="99"/>
    <w:unhideWhenUsed/>
    <w:rsid w:val="00AA51A6"/>
    <w:pPr>
      <w:tabs>
        <w:tab w:val="center" w:pos="4252"/>
        <w:tab w:val="right" w:pos="8504"/>
      </w:tabs>
    </w:pPr>
  </w:style>
  <w:style w:type="character" w:customStyle="1" w:styleId="RodapChar">
    <w:name w:val="Rodapé Char"/>
    <w:basedOn w:val="Fontepargpadro"/>
    <w:link w:val="Rodap"/>
    <w:uiPriority w:val="99"/>
    <w:rsid w:val="00AA51A6"/>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889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27</Pages>
  <Words>6718</Words>
  <Characters>36281</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dcterms:created xsi:type="dcterms:W3CDTF">2026-04-16T15:55:00Z</dcterms:created>
  <dcterms:modified xsi:type="dcterms:W3CDTF">2026-04-16T16:37:00Z</dcterms:modified>
</cp:coreProperties>
</file>