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9F6" w:rsidRDefault="004639F6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:rsidR="004639F6" w:rsidRDefault="004639F6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CONCORRÊNCIA ELETRÔNICA 008-2026.</w:t>
      </w:r>
      <w:bookmarkStart w:id="0" w:name="_GoBack"/>
      <w:bookmarkEnd w:id="0"/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ESTUDO TÉCNICO PRELIMINAR – ETP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Lei Federal nº 14.133/2021</w:t>
      </w:r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1. Identificação da Necessidade da Contratação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 Secretaria Municipal de Saúde identificou a necessidade de ampliação da infraestrutura física do Pronto Atendimento Municipal, visando à implantação de ambientes específicos destinados aos serviços de diagnóstico por imagem, compreendendo salas para Raio-X, Ecografia e Recepção.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 estrutura atualmente existente não dispõe de espaço físico adequado para instalação dos equipamentos necessários à realização desses exames, comprometendo a qualidade do atendimento, o fluxo assistencial e a capacidade operacional da unidade.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Em razão dessa limitação, parcela significativa dos pacientes necessita ser encaminhada para municípios vizinhos, ocasionando aumento dos custos com transporte sanitário, maior tempo de espera para diagnóstico, sobrecarga administrativa e redução da resolutividade dos serviços municipais de saúde.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 contratação objetiva suprir essa deficiência estrutural mediante a execução da primeira etapa da ampliação do Pronto Atendimento Municipal.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2. Alinhamento com o Planejamento da Administração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 contratação encontra-se alinhada às políticas públicas municipais voltadas ao fortalecimento da Atenção às Urgências e Emergências, bem como ao planejamento da Secretaria Municipal de Saúde.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Também está em conformidade com:</w:t>
      </w:r>
    </w:p>
    <w:p w:rsidR="00A839FD" w:rsidRPr="00A839FD" w:rsidRDefault="00A839FD" w:rsidP="00A839FD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Constituição Federal (</w:t>
      </w:r>
      <w:proofErr w:type="spellStart"/>
      <w:r w:rsidRPr="00A839FD">
        <w:rPr>
          <w:rFonts w:ascii="Calibri" w:hAnsi="Calibri" w:cs="Calibri"/>
          <w:sz w:val="22"/>
          <w:szCs w:val="22"/>
        </w:rPr>
        <w:t>arts</w:t>
      </w:r>
      <w:proofErr w:type="spellEnd"/>
      <w:r w:rsidRPr="00A839FD">
        <w:rPr>
          <w:rFonts w:ascii="Calibri" w:hAnsi="Calibri" w:cs="Calibri"/>
          <w:sz w:val="22"/>
          <w:szCs w:val="22"/>
        </w:rPr>
        <w:t>. 37 e 196);</w:t>
      </w:r>
    </w:p>
    <w:p w:rsidR="00A839FD" w:rsidRPr="00A839FD" w:rsidRDefault="00A839FD" w:rsidP="00A839FD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Lei nº 14.133/2021;</w:t>
      </w:r>
    </w:p>
    <w:p w:rsidR="00A839FD" w:rsidRPr="00A839FD" w:rsidRDefault="00A839FD" w:rsidP="00A839FD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Plano Plurianual;</w:t>
      </w:r>
    </w:p>
    <w:p w:rsidR="00A839FD" w:rsidRPr="00A839FD" w:rsidRDefault="00A839FD" w:rsidP="00A839FD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Lei Orçamentária Anual;</w:t>
      </w:r>
    </w:p>
    <w:p w:rsidR="00A839FD" w:rsidRPr="00A839FD" w:rsidRDefault="00A839FD" w:rsidP="00A839FD">
      <w:pPr>
        <w:numPr>
          <w:ilvl w:val="0"/>
          <w:numId w:val="19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Plano Municipal de Saúde.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 contratação atende ao princípio do planejamento previsto no art. 5º da Lei nº 14.133/2021.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lastRenderedPageBreak/>
        <w:t>3. Requisitos da Contratação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 solução deverá contemplar:</w:t>
      </w:r>
    </w:p>
    <w:p w:rsidR="00A839FD" w:rsidRPr="00A839FD" w:rsidRDefault="00A839FD" w:rsidP="00A839FD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execução integral da obra;</w:t>
      </w:r>
    </w:p>
    <w:p w:rsidR="00A839FD" w:rsidRPr="00A839FD" w:rsidRDefault="00A839FD" w:rsidP="00A839FD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fornecimento de todos os materiais;</w:t>
      </w:r>
    </w:p>
    <w:p w:rsidR="00A839FD" w:rsidRPr="00A839FD" w:rsidRDefault="00A839FD" w:rsidP="00A839FD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fornecimento de equipamentos;</w:t>
      </w:r>
    </w:p>
    <w:p w:rsidR="00A839FD" w:rsidRPr="00A839FD" w:rsidRDefault="00A839FD" w:rsidP="00A839FD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mão de obra especializada;</w:t>
      </w:r>
    </w:p>
    <w:p w:rsidR="00A839FD" w:rsidRPr="00A839FD" w:rsidRDefault="00A839FD" w:rsidP="00A839FD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administração local;</w:t>
      </w:r>
    </w:p>
    <w:p w:rsidR="00A839FD" w:rsidRPr="00A839FD" w:rsidRDefault="00A839FD" w:rsidP="00A839FD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ART de execução;</w:t>
      </w:r>
    </w:p>
    <w:p w:rsidR="00A839FD" w:rsidRPr="00A839FD" w:rsidRDefault="00A839FD" w:rsidP="00A839FD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observância das normas da ABNT;</w:t>
      </w:r>
    </w:p>
    <w:p w:rsidR="00A839FD" w:rsidRPr="00A839FD" w:rsidRDefault="00A839FD" w:rsidP="00A839FD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 xml:space="preserve">cumprimento das </w:t>
      </w:r>
      <w:proofErr w:type="spellStart"/>
      <w:r w:rsidRPr="00A839FD">
        <w:rPr>
          <w:rFonts w:ascii="Calibri" w:hAnsi="Calibri" w:cs="Calibri"/>
          <w:sz w:val="22"/>
          <w:szCs w:val="22"/>
        </w:rPr>
        <w:t>RDCs</w:t>
      </w:r>
      <w:proofErr w:type="spellEnd"/>
      <w:r w:rsidRPr="00A839FD">
        <w:rPr>
          <w:rFonts w:ascii="Calibri" w:hAnsi="Calibri" w:cs="Calibri"/>
          <w:sz w:val="22"/>
          <w:szCs w:val="22"/>
        </w:rPr>
        <w:t xml:space="preserve"> da ANVISA aplicáveis às edificações de saúde;</w:t>
      </w:r>
    </w:p>
    <w:p w:rsidR="00A839FD" w:rsidRPr="00A839FD" w:rsidRDefault="00A839FD" w:rsidP="00A839FD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atendimento às Normas Regulamentadoras do Ministério do Trabalho;</w:t>
      </w:r>
    </w:p>
    <w:p w:rsidR="00A839FD" w:rsidRPr="00A839FD" w:rsidRDefault="00A839FD" w:rsidP="00A839FD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 xml:space="preserve">fornecimento de EPIs e </w:t>
      </w:r>
      <w:proofErr w:type="spellStart"/>
      <w:r w:rsidRPr="00A839FD">
        <w:rPr>
          <w:rFonts w:ascii="Calibri" w:hAnsi="Calibri" w:cs="Calibri"/>
          <w:sz w:val="22"/>
          <w:szCs w:val="22"/>
        </w:rPr>
        <w:t>EPCs</w:t>
      </w:r>
      <w:proofErr w:type="spellEnd"/>
      <w:r w:rsidRPr="00A839FD">
        <w:rPr>
          <w:rFonts w:ascii="Calibri" w:hAnsi="Calibri" w:cs="Calibri"/>
          <w:sz w:val="22"/>
          <w:szCs w:val="22"/>
        </w:rPr>
        <w:t>;</w:t>
      </w:r>
    </w:p>
    <w:p w:rsidR="00A839FD" w:rsidRPr="00A839FD" w:rsidRDefault="00A839FD" w:rsidP="00A839FD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gerenciamento dos resíduos da construção;</w:t>
      </w:r>
    </w:p>
    <w:p w:rsidR="00A839FD" w:rsidRPr="00A839FD" w:rsidRDefault="00A839FD" w:rsidP="00A839FD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entrega da obra em perfeitas condições de funcionamento.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4. Estimativa da Demanda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 xml:space="preserve">O projeto arquitetônico definiu área aproximada de </w:t>
      </w:r>
      <w:r w:rsidRPr="00A839FD">
        <w:rPr>
          <w:rFonts w:ascii="Calibri" w:hAnsi="Calibri" w:cs="Calibri"/>
          <w:b/>
          <w:bCs/>
          <w:sz w:val="22"/>
          <w:szCs w:val="22"/>
        </w:rPr>
        <w:t>65,61 m²</w:t>
      </w:r>
      <w:r w:rsidRPr="00A839FD">
        <w:rPr>
          <w:rFonts w:ascii="Calibri" w:hAnsi="Calibri" w:cs="Calibri"/>
          <w:sz w:val="22"/>
          <w:szCs w:val="22"/>
        </w:rPr>
        <w:t>, suficiente para implantação de:</w:t>
      </w:r>
    </w:p>
    <w:p w:rsidR="00A839FD" w:rsidRPr="00A839FD" w:rsidRDefault="00A839FD" w:rsidP="00A839FD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Sala de Raio-X;</w:t>
      </w:r>
    </w:p>
    <w:p w:rsidR="00A839FD" w:rsidRPr="00A839FD" w:rsidRDefault="00A839FD" w:rsidP="00A839FD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Sala de Ecografia;</w:t>
      </w:r>
    </w:p>
    <w:p w:rsidR="00A839FD" w:rsidRPr="00A839FD" w:rsidRDefault="00A839FD" w:rsidP="00A839FD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Recepção;</w:t>
      </w:r>
    </w:p>
    <w:p w:rsidR="00A839FD" w:rsidRPr="00A839FD" w:rsidRDefault="00A839FD" w:rsidP="00A839FD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Circulações;</w:t>
      </w:r>
    </w:p>
    <w:p w:rsidR="00A839FD" w:rsidRPr="00A839FD" w:rsidRDefault="00A839FD" w:rsidP="00A839FD">
      <w:pPr>
        <w:numPr>
          <w:ilvl w:val="0"/>
          <w:numId w:val="21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Áreas técnicas previstas em projeto.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Os quantitativos constantes da planilha orçamentária foram obtidos mediante levantamento técnico realizado pelos responsáveis pelos projetos executivos.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5. Levantamento de Mercado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lastRenderedPageBreak/>
        <w:t>Foram analisadas as possíveis soluções para atendimento da necessidade administrativa.</w:t>
      </w:r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Alternativa 1 – Manter a situação atual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Vantagens</w:t>
      </w:r>
    </w:p>
    <w:p w:rsidR="00A839FD" w:rsidRPr="00A839FD" w:rsidRDefault="00A839FD" w:rsidP="00A839FD">
      <w:pPr>
        <w:numPr>
          <w:ilvl w:val="0"/>
          <w:numId w:val="22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Não gera investimento imediato.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Desvantagens</w:t>
      </w:r>
    </w:p>
    <w:p w:rsidR="00A839FD" w:rsidRPr="00A839FD" w:rsidRDefault="00A839FD" w:rsidP="00A839FD">
      <w:pPr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Continuidade dos encaminhamentos para outros municípios;</w:t>
      </w:r>
    </w:p>
    <w:p w:rsidR="00A839FD" w:rsidRPr="00A839FD" w:rsidRDefault="00A839FD" w:rsidP="00A839FD">
      <w:pPr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Maior custo com transporte sanitário;</w:t>
      </w:r>
    </w:p>
    <w:p w:rsidR="00A839FD" w:rsidRPr="00A839FD" w:rsidRDefault="00A839FD" w:rsidP="00A839FD">
      <w:pPr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Longa espera para exames;</w:t>
      </w:r>
    </w:p>
    <w:p w:rsidR="00A839FD" w:rsidRPr="00A839FD" w:rsidRDefault="00A839FD" w:rsidP="00A839FD">
      <w:pPr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Baixa resolutividade da unidade;</w:t>
      </w:r>
    </w:p>
    <w:p w:rsidR="00A839FD" w:rsidRPr="00A839FD" w:rsidRDefault="00A839FD" w:rsidP="00A839FD">
      <w:pPr>
        <w:numPr>
          <w:ilvl w:val="0"/>
          <w:numId w:val="23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Permanência das limitações estruturais.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Conclusão: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Alternativa inadequada.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Alternativa 2 – Locação de imóvel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Vantagens</w:t>
      </w:r>
    </w:p>
    <w:p w:rsidR="00A839FD" w:rsidRPr="00A839FD" w:rsidRDefault="00A839FD" w:rsidP="00A839FD">
      <w:pPr>
        <w:numPr>
          <w:ilvl w:val="0"/>
          <w:numId w:val="24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Menor prazo inicial de implantação.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Desvantagens</w:t>
      </w:r>
    </w:p>
    <w:p w:rsidR="00A839FD" w:rsidRPr="00A839FD" w:rsidRDefault="00A839FD" w:rsidP="00A839FD">
      <w:pPr>
        <w:numPr>
          <w:ilvl w:val="0"/>
          <w:numId w:val="25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Custos permanentes com aluguel;</w:t>
      </w:r>
    </w:p>
    <w:p w:rsidR="00A839FD" w:rsidRPr="00A839FD" w:rsidRDefault="00A839FD" w:rsidP="00A839FD">
      <w:pPr>
        <w:numPr>
          <w:ilvl w:val="0"/>
          <w:numId w:val="25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Necessidade de adaptações estruturais;</w:t>
      </w:r>
    </w:p>
    <w:p w:rsidR="00A839FD" w:rsidRPr="00A839FD" w:rsidRDefault="00A839FD" w:rsidP="00A839FD">
      <w:pPr>
        <w:numPr>
          <w:ilvl w:val="0"/>
          <w:numId w:val="25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Possibilidade de incompatibilidade com normas sanitárias;</w:t>
      </w:r>
    </w:p>
    <w:p w:rsidR="00A839FD" w:rsidRPr="00A839FD" w:rsidRDefault="00A839FD" w:rsidP="00A839FD">
      <w:pPr>
        <w:numPr>
          <w:ilvl w:val="0"/>
          <w:numId w:val="25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Separação física entre atendimento e diagnóstico.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Conclusão: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Alternativa pouco eficiente.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Alternativa 3 – Construção da ampliação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Vantagens</w:t>
      </w:r>
    </w:p>
    <w:p w:rsidR="00A839FD" w:rsidRPr="00A839FD" w:rsidRDefault="00A839FD" w:rsidP="00A839FD">
      <w:pPr>
        <w:numPr>
          <w:ilvl w:val="0"/>
          <w:numId w:val="26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lastRenderedPageBreak/>
        <w:t>Solução definitiva;</w:t>
      </w:r>
    </w:p>
    <w:p w:rsidR="00A839FD" w:rsidRPr="00A839FD" w:rsidRDefault="00A839FD" w:rsidP="00A839FD">
      <w:pPr>
        <w:numPr>
          <w:ilvl w:val="0"/>
          <w:numId w:val="26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Integração dos serviços;</w:t>
      </w:r>
    </w:p>
    <w:p w:rsidR="00A839FD" w:rsidRPr="00A839FD" w:rsidRDefault="00A839FD" w:rsidP="00A839FD">
      <w:pPr>
        <w:numPr>
          <w:ilvl w:val="0"/>
          <w:numId w:val="26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Valorização do patrimônio público;</w:t>
      </w:r>
    </w:p>
    <w:p w:rsidR="00A839FD" w:rsidRPr="00A839FD" w:rsidRDefault="00A839FD" w:rsidP="00A839FD">
      <w:pPr>
        <w:numPr>
          <w:ilvl w:val="0"/>
          <w:numId w:val="26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Atendimento das normas técnicas;</w:t>
      </w:r>
    </w:p>
    <w:p w:rsidR="00A839FD" w:rsidRPr="00A839FD" w:rsidRDefault="00A839FD" w:rsidP="00A839FD">
      <w:pPr>
        <w:numPr>
          <w:ilvl w:val="0"/>
          <w:numId w:val="26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Menores custos operacionais futuros;</w:t>
      </w:r>
    </w:p>
    <w:p w:rsidR="00A839FD" w:rsidRPr="00A839FD" w:rsidRDefault="00A839FD" w:rsidP="00A839FD">
      <w:pPr>
        <w:numPr>
          <w:ilvl w:val="0"/>
          <w:numId w:val="26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Maior eficiência administrativa.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Desvantagens:</w:t>
      </w:r>
    </w:p>
    <w:p w:rsidR="00A839FD" w:rsidRPr="00A839FD" w:rsidRDefault="00A839FD" w:rsidP="00A839FD">
      <w:pPr>
        <w:numPr>
          <w:ilvl w:val="0"/>
          <w:numId w:val="27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Investimento inicial.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Conclusão: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Alternativa tecnicamente mais vantajosa.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6. Descrição da Solução Escolhida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Optou-se pela contratação de empresa especializada para execução da primeira etapa da ampliação do Pronto Atendimento Municipal, mediante empreitada por preço unitário.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 obra compreenderá, entre outros serviços:</w:t>
      </w:r>
    </w:p>
    <w:p w:rsidR="00A839FD" w:rsidRPr="00A839FD" w:rsidRDefault="00A839FD" w:rsidP="00A839FD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instalação do canteiro;</w:t>
      </w:r>
    </w:p>
    <w:p w:rsidR="00A839FD" w:rsidRPr="00A839FD" w:rsidRDefault="00A839FD" w:rsidP="00A839FD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demolições;</w:t>
      </w:r>
    </w:p>
    <w:p w:rsidR="00A839FD" w:rsidRPr="00A839FD" w:rsidRDefault="00A839FD" w:rsidP="00A839FD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escavações;</w:t>
      </w:r>
    </w:p>
    <w:p w:rsidR="00A839FD" w:rsidRPr="00A839FD" w:rsidRDefault="00A839FD" w:rsidP="00A839FD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fundações;</w:t>
      </w:r>
    </w:p>
    <w:p w:rsidR="00A839FD" w:rsidRPr="00A839FD" w:rsidRDefault="00A839FD" w:rsidP="00A839FD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A839FD">
        <w:rPr>
          <w:rFonts w:ascii="Calibri" w:hAnsi="Calibri" w:cs="Calibri"/>
          <w:sz w:val="22"/>
          <w:szCs w:val="22"/>
        </w:rPr>
        <w:t>microestacas</w:t>
      </w:r>
      <w:proofErr w:type="spellEnd"/>
      <w:r w:rsidRPr="00A839FD">
        <w:rPr>
          <w:rFonts w:ascii="Calibri" w:hAnsi="Calibri" w:cs="Calibri"/>
          <w:sz w:val="22"/>
          <w:szCs w:val="22"/>
        </w:rPr>
        <w:t>;</w:t>
      </w:r>
    </w:p>
    <w:p w:rsidR="00A839FD" w:rsidRPr="00A839FD" w:rsidRDefault="00A839FD" w:rsidP="00A839FD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vigas baldrame;</w:t>
      </w:r>
    </w:p>
    <w:p w:rsidR="00A839FD" w:rsidRPr="00A839FD" w:rsidRDefault="00A839FD" w:rsidP="00A839FD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impermeabilização;</w:t>
      </w:r>
    </w:p>
    <w:p w:rsidR="00A839FD" w:rsidRPr="00A839FD" w:rsidRDefault="00A839FD" w:rsidP="00A839FD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pilares;</w:t>
      </w:r>
    </w:p>
    <w:p w:rsidR="00A839FD" w:rsidRPr="00A839FD" w:rsidRDefault="00A839FD" w:rsidP="00A839FD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alvenarias;</w:t>
      </w:r>
    </w:p>
    <w:p w:rsidR="00A839FD" w:rsidRPr="00A839FD" w:rsidRDefault="00A839FD" w:rsidP="00A839FD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vergas;</w:t>
      </w:r>
    </w:p>
    <w:p w:rsidR="00A839FD" w:rsidRPr="00A839FD" w:rsidRDefault="00A839FD" w:rsidP="00A839FD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A839FD">
        <w:rPr>
          <w:rFonts w:ascii="Calibri" w:hAnsi="Calibri" w:cs="Calibri"/>
          <w:sz w:val="22"/>
          <w:szCs w:val="22"/>
        </w:rPr>
        <w:t>contravergas</w:t>
      </w:r>
      <w:proofErr w:type="spellEnd"/>
      <w:r w:rsidRPr="00A839FD">
        <w:rPr>
          <w:rFonts w:ascii="Calibri" w:hAnsi="Calibri" w:cs="Calibri"/>
          <w:sz w:val="22"/>
          <w:szCs w:val="22"/>
        </w:rPr>
        <w:t>;</w:t>
      </w:r>
    </w:p>
    <w:p w:rsidR="00A839FD" w:rsidRPr="00A839FD" w:rsidRDefault="00A839FD" w:rsidP="00A839FD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lastRenderedPageBreak/>
        <w:t>cintas;</w:t>
      </w:r>
    </w:p>
    <w:p w:rsidR="00A839FD" w:rsidRPr="00A839FD" w:rsidRDefault="00A839FD" w:rsidP="00A839FD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lajes pré-moldadas;</w:t>
      </w:r>
    </w:p>
    <w:p w:rsidR="00A839FD" w:rsidRPr="00A839FD" w:rsidRDefault="00A839FD" w:rsidP="00A839FD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contrapiso;</w:t>
      </w:r>
    </w:p>
    <w:p w:rsidR="00A839FD" w:rsidRPr="00A839FD" w:rsidRDefault="00A839FD" w:rsidP="00A839FD">
      <w:pPr>
        <w:numPr>
          <w:ilvl w:val="0"/>
          <w:numId w:val="28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limpeza final.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 solução contempla fornecimento integral de materiais, equipamentos e mão de obra.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7. Estimativa das Quantidades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As quantidades foram obtidas mediante:</w:t>
      </w:r>
    </w:p>
    <w:p w:rsidR="00A839FD" w:rsidRPr="00A839FD" w:rsidRDefault="00A839FD" w:rsidP="00A839FD">
      <w:pPr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levantamento arquitetônico;</w:t>
      </w:r>
    </w:p>
    <w:p w:rsidR="00A839FD" w:rsidRPr="00A839FD" w:rsidRDefault="00A839FD" w:rsidP="00A839FD">
      <w:pPr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projeto estrutural;</w:t>
      </w:r>
    </w:p>
    <w:p w:rsidR="00A839FD" w:rsidRPr="00A839FD" w:rsidRDefault="00A839FD" w:rsidP="00A839FD">
      <w:pPr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memorial descritivo;</w:t>
      </w:r>
    </w:p>
    <w:p w:rsidR="00A839FD" w:rsidRPr="00A839FD" w:rsidRDefault="00A839FD" w:rsidP="00A839FD">
      <w:pPr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planilha orçamentária;</w:t>
      </w:r>
    </w:p>
    <w:p w:rsidR="00A839FD" w:rsidRPr="00A839FD" w:rsidRDefault="00A839FD" w:rsidP="00A839FD">
      <w:pPr>
        <w:numPr>
          <w:ilvl w:val="0"/>
          <w:numId w:val="29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composição de custos baseada no SINAPI.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 xml:space="preserve">A área total prevista é de aproximadamente </w:t>
      </w:r>
      <w:r w:rsidRPr="00A839FD">
        <w:rPr>
          <w:rFonts w:ascii="Calibri" w:hAnsi="Calibri" w:cs="Calibri"/>
          <w:b/>
          <w:bCs/>
          <w:sz w:val="22"/>
          <w:szCs w:val="22"/>
        </w:rPr>
        <w:t>65,61 m²</w:t>
      </w:r>
      <w:r w:rsidRPr="00A839FD">
        <w:rPr>
          <w:rFonts w:ascii="Calibri" w:hAnsi="Calibri" w:cs="Calibri"/>
          <w:sz w:val="22"/>
          <w:szCs w:val="22"/>
        </w:rPr>
        <w:t>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8. Estimativa do Valor da Contratação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O orçamento estimativo apresenta valor de: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R$ 63.400,10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Base de referência:</w:t>
      </w:r>
    </w:p>
    <w:p w:rsidR="00A839FD" w:rsidRPr="00A839FD" w:rsidRDefault="00A839FD" w:rsidP="00A839FD">
      <w:pPr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SINAPI – maio/2026;</w:t>
      </w:r>
    </w:p>
    <w:p w:rsidR="00A839FD" w:rsidRPr="00A839FD" w:rsidRDefault="00A839FD" w:rsidP="00A839FD">
      <w:pPr>
        <w:numPr>
          <w:ilvl w:val="0"/>
          <w:numId w:val="30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composição de BDI constante dos projetos.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O orçamento foi elaborado conforme metodologia adotada para obras públicas.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9. Parcelamento da Solução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Não se recomenda o parcelamento da contratação.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lastRenderedPageBreak/>
        <w:t>Embora a obra seja denominada "Etapa 01", os serviços previstos nesta contratação constituem um conjunto único e interdependente, cuja execução exige coordenação técnica e responsabilidade única.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O parcelamento poderia gerar:</w:t>
      </w:r>
    </w:p>
    <w:p w:rsidR="00A839FD" w:rsidRPr="00A839FD" w:rsidRDefault="00A839FD" w:rsidP="00A839FD">
      <w:pPr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incompatibilidade construtiva;</w:t>
      </w:r>
    </w:p>
    <w:p w:rsidR="00A839FD" w:rsidRPr="00A839FD" w:rsidRDefault="00A839FD" w:rsidP="00A839FD">
      <w:pPr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aumento dos custos administrativos;</w:t>
      </w:r>
    </w:p>
    <w:p w:rsidR="00A839FD" w:rsidRPr="00A839FD" w:rsidRDefault="00A839FD" w:rsidP="00A839FD">
      <w:pPr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dificuldades na fiscalização;</w:t>
      </w:r>
    </w:p>
    <w:p w:rsidR="00A839FD" w:rsidRPr="00A839FD" w:rsidRDefault="00A839FD" w:rsidP="00A839FD">
      <w:pPr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riscos de responsabilização entre empresas distintas;</w:t>
      </w:r>
    </w:p>
    <w:p w:rsidR="00A839FD" w:rsidRPr="00A839FD" w:rsidRDefault="00A839FD" w:rsidP="00A839FD">
      <w:pPr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atrasos na execução.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Assim, mostra-se tecnicamente recomendável a contratação de uma única empresa.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10. Resultados Pretendidos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Com a contratação espera-se:</w:t>
      </w:r>
    </w:p>
    <w:p w:rsidR="00A839FD" w:rsidRPr="00A839FD" w:rsidRDefault="00A839FD" w:rsidP="00A839FD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implantação dos serviços de Raio-X;</w:t>
      </w:r>
    </w:p>
    <w:p w:rsidR="00A839FD" w:rsidRPr="00A839FD" w:rsidRDefault="00A839FD" w:rsidP="00A839FD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implantação dos serviços de Ecografia;</w:t>
      </w:r>
    </w:p>
    <w:p w:rsidR="00A839FD" w:rsidRPr="00A839FD" w:rsidRDefault="00A839FD" w:rsidP="00A839FD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redução dos encaminhamentos externos;</w:t>
      </w:r>
    </w:p>
    <w:p w:rsidR="00A839FD" w:rsidRPr="00A839FD" w:rsidRDefault="00A839FD" w:rsidP="00A839FD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redução dos custos com transporte sanitário;</w:t>
      </w:r>
    </w:p>
    <w:p w:rsidR="00A839FD" w:rsidRPr="00A839FD" w:rsidRDefault="00A839FD" w:rsidP="00A839FD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melhoria da qualidade assistencial;</w:t>
      </w:r>
    </w:p>
    <w:p w:rsidR="00A839FD" w:rsidRPr="00A839FD" w:rsidRDefault="00A839FD" w:rsidP="00A839FD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aumento da capacidade de atendimento;</w:t>
      </w:r>
    </w:p>
    <w:p w:rsidR="00A839FD" w:rsidRPr="00A839FD" w:rsidRDefault="00A839FD" w:rsidP="00A839FD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melhoria do fluxo interno do Pronto Atendimento;</w:t>
      </w:r>
    </w:p>
    <w:p w:rsidR="00A839FD" w:rsidRPr="00A839FD" w:rsidRDefault="00A839FD" w:rsidP="00A839FD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valorização do patrimônio público;</w:t>
      </w:r>
    </w:p>
    <w:p w:rsidR="00A839FD" w:rsidRPr="00A839FD" w:rsidRDefault="00A839FD" w:rsidP="00A839FD">
      <w:pPr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maior resolutividade da rede municipal de saúde.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11. Providências a Serem Adotadas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Antes da contratação deverão ser providenciados:</w:t>
      </w:r>
    </w:p>
    <w:p w:rsidR="00A839FD" w:rsidRPr="00A839FD" w:rsidRDefault="00A839FD" w:rsidP="00A839FD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aprovação dos projetos;</w:t>
      </w:r>
    </w:p>
    <w:p w:rsidR="00A839FD" w:rsidRPr="00A839FD" w:rsidRDefault="00A839FD" w:rsidP="00A839FD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disponibilidade orçamentária;</w:t>
      </w:r>
    </w:p>
    <w:p w:rsidR="00A839FD" w:rsidRPr="00A839FD" w:rsidRDefault="00A839FD" w:rsidP="00A839FD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lastRenderedPageBreak/>
        <w:t>designação do gestor e fiscal do contrato;</w:t>
      </w:r>
    </w:p>
    <w:p w:rsidR="00A839FD" w:rsidRPr="00A839FD" w:rsidRDefault="00A839FD" w:rsidP="00A839FD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emissão da Ordem de Serviço;</w:t>
      </w:r>
    </w:p>
    <w:p w:rsidR="00A839FD" w:rsidRPr="00A839FD" w:rsidRDefault="00A839FD" w:rsidP="00A839FD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disponibilização do local para execução;</w:t>
      </w:r>
    </w:p>
    <w:p w:rsidR="00A839FD" w:rsidRPr="00A839FD" w:rsidRDefault="00A839FD" w:rsidP="00A839FD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planejamento do acompanhamento da obra.</w:t>
      </w:r>
    </w:p>
    <w:p w:rsidR="00A839FD" w:rsidRPr="00A839FD" w:rsidRDefault="00A839FD" w:rsidP="00A839FD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12. Contratações Correlatas e Interdependentes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Não foram identificadas contratações correlatas indispensáveis para execução da presente obra.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Os equipamentos médicos destinados às salas poderão ser objeto de contratação própria, sem prejuízo da execução da ampliação física.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13. Impactos Ambientais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Os impactos ambientais são considerados de baixa magnitude e serão mitigados mediante:</w:t>
      </w:r>
    </w:p>
    <w:p w:rsidR="00A839FD" w:rsidRPr="00A839FD" w:rsidRDefault="00A839FD" w:rsidP="00A839FD">
      <w:pPr>
        <w:numPr>
          <w:ilvl w:val="0"/>
          <w:numId w:val="34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segregação dos resíduos;</w:t>
      </w:r>
    </w:p>
    <w:p w:rsidR="00A839FD" w:rsidRPr="00A839FD" w:rsidRDefault="00A839FD" w:rsidP="00A839FD">
      <w:pPr>
        <w:numPr>
          <w:ilvl w:val="0"/>
          <w:numId w:val="34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destinação ambientalmente adequada;</w:t>
      </w:r>
    </w:p>
    <w:p w:rsidR="00A839FD" w:rsidRPr="00A839FD" w:rsidRDefault="00A839FD" w:rsidP="00A839FD">
      <w:pPr>
        <w:numPr>
          <w:ilvl w:val="0"/>
          <w:numId w:val="34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controle da emissão de poeira;</w:t>
      </w:r>
    </w:p>
    <w:p w:rsidR="00A839FD" w:rsidRPr="00A839FD" w:rsidRDefault="00A839FD" w:rsidP="00A839FD">
      <w:pPr>
        <w:numPr>
          <w:ilvl w:val="0"/>
          <w:numId w:val="34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redução do desperdício de materiais;</w:t>
      </w:r>
    </w:p>
    <w:p w:rsidR="00A839FD" w:rsidRPr="00A839FD" w:rsidRDefault="00A839FD" w:rsidP="00A839FD">
      <w:pPr>
        <w:numPr>
          <w:ilvl w:val="0"/>
          <w:numId w:val="34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utilização de materiais certificados, quando possível;</w:t>
      </w:r>
    </w:p>
    <w:p w:rsidR="00A839FD" w:rsidRPr="00A839FD" w:rsidRDefault="00A839FD" w:rsidP="00A839FD">
      <w:pPr>
        <w:numPr>
          <w:ilvl w:val="0"/>
          <w:numId w:val="34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cumprimento da Resolução CONAMA nº 307/2002.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14. Análise dos Riscos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6"/>
        <w:gridCol w:w="1334"/>
        <w:gridCol w:w="809"/>
        <w:gridCol w:w="4587"/>
      </w:tblGrid>
      <w:tr w:rsidR="00A839FD" w:rsidRPr="00A839FD" w:rsidTr="00A839F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839FD">
              <w:rPr>
                <w:rFonts w:ascii="Calibri" w:hAnsi="Calibri" w:cs="Calibri"/>
                <w:b/>
                <w:bCs/>
                <w:sz w:val="22"/>
                <w:szCs w:val="22"/>
              </w:rPr>
              <w:t>Risco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839FD">
              <w:rPr>
                <w:rFonts w:ascii="Calibri" w:hAnsi="Calibri" w:cs="Calibri"/>
                <w:b/>
                <w:bCs/>
                <w:sz w:val="22"/>
                <w:szCs w:val="22"/>
              </w:rPr>
              <w:t>Probabilidade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839FD">
              <w:rPr>
                <w:rFonts w:ascii="Calibri" w:hAnsi="Calibri" w:cs="Calibri"/>
                <w:b/>
                <w:bCs/>
                <w:sz w:val="22"/>
                <w:szCs w:val="22"/>
              </w:rPr>
              <w:t>Impacto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839FD">
              <w:rPr>
                <w:rFonts w:ascii="Calibri" w:hAnsi="Calibri" w:cs="Calibri"/>
                <w:b/>
                <w:bCs/>
                <w:sz w:val="22"/>
                <w:szCs w:val="22"/>
              </w:rPr>
              <w:t>Mitigação</w:t>
            </w:r>
          </w:p>
        </w:tc>
      </w:tr>
      <w:tr w:rsidR="00A839FD" w:rsidRPr="00A839FD" w:rsidTr="00A839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Chuvas intensas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Média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Médio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Reprogramação do cronograma</w:t>
            </w:r>
          </w:p>
        </w:tc>
      </w:tr>
      <w:tr w:rsidR="00A839FD" w:rsidRPr="00A839FD" w:rsidTr="00A839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Atraso na entrega de materiais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Média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Alto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Planejamento antecipado das compras</w:t>
            </w:r>
          </w:p>
        </w:tc>
      </w:tr>
      <w:tr w:rsidR="00A839FD" w:rsidRPr="00A839FD" w:rsidTr="00A839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Serviços em desacordo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Baixa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Alto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Fiscalização permanente</w:t>
            </w:r>
          </w:p>
        </w:tc>
      </w:tr>
      <w:tr w:rsidR="00A839FD" w:rsidRPr="00A839FD" w:rsidTr="00A839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lastRenderedPageBreak/>
              <w:t>Oscilação extraordinária de preços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Baixa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Médio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Aplicação do reequilíbrio econômico-financeiro, quando cabível</w:t>
            </w:r>
          </w:p>
        </w:tc>
      </w:tr>
      <w:tr w:rsidR="00A839FD" w:rsidRPr="00A839FD" w:rsidTr="00A839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Acidentes de trabalho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Baixa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Alto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Cumprimento das Normas Regulamentadoras</w:t>
            </w:r>
          </w:p>
        </w:tc>
      </w:tr>
      <w:tr w:rsidR="00A839FD" w:rsidRPr="00A839FD" w:rsidTr="00A839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Interferências em redes existentes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Baixa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Médio</w:t>
            </w:r>
          </w:p>
        </w:tc>
        <w:tc>
          <w:tcPr>
            <w:tcW w:w="0" w:type="auto"/>
            <w:vAlign w:val="center"/>
            <w:hideMark/>
          </w:tcPr>
          <w:p w:rsidR="00A839FD" w:rsidRPr="00A839FD" w:rsidRDefault="00A839FD" w:rsidP="00A839FD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839FD">
              <w:rPr>
                <w:rFonts w:ascii="Calibri" w:hAnsi="Calibri" w:cs="Calibri"/>
                <w:sz w:val="22"/>
                <w:szCs w:val="22"/>
              </w:rPr>
              <w:t>Vistorias e compatibilização prévia dos projetos</w:t>
            </w:r>
          </w:p>
        </w:tc>
      </w:tr>
    </w:tbl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15. Viabilidade da Contratação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 análise técnica demonstra que:</w:t>
      </w:r>
    </w:p>
    <w:p w:rsidR="00A839FD" w:rsidRPr="00A839FD" w:rsidRDefault="00A839FD" w:rsidP="00A839FD">
      <w:pPr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 necessidade administrativa está devidamente caracterizada;</w:t>
      </w:r>
    </w:p>
    <w:p w:rsidR="00A839FD" w:rsidRPr="00A839FD" w:rsidRDefault="00A839FD" w:rsidP="00A839FD">
      <w:pPr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existe projeto executivo elaborado;</w:t>
      </w:r>
    </w:p>
    <w:p w:rsidR="00A839FD" w:rsidRPr="00A839FD" w:rsidRDefault="00A839FD" w:rsidP="00A839FD">
      <w:pPr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há memorial descritivo, orçamento e cronograma físico-financeiro;</w:t>
      </w:r>
    </w:p>
    <w:p w:rsidR="00A839FD" w:rsidRPr="00A839FD" w:rsidRDefault="00A839FD" w:rsidP="00A839FD">
      <w:pPr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 solução escolhida apresenta viabilidade técnica;</w:t>
      </w:r>
    </w:p>
    <w:p w:rsidR="00A839FD" w:rsidRPr="00A839FD" w:rsidRDefault="00A839FD" w:rsidP="00A839FD">
      <w:pPr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 contratação possui viabilidade econômica, considerando os benefícios permanentes proporcionados;</w:t>
      </w:r>
    </w:p>
    <w:p w:rsidR="00A839FD" w:rsidRPr="00A839FD" w:rsidRDefault="00A839FD" w:rsidP="00A839FD">
      <w:pPr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 execução atende ao interesse público e às políticas municipais de saúde;</w:t>
      </w:r>
    </w:p>
    <w:p w:rsidR="00A839FD" w:rsidRPr="00A839FD" w:rsidRDefault="00A839FD" w:rsidP="00A839FD">
      <w:pPr>
        <w:numPr>
          <w:ilvl w:val="0"/>
          <w:numId w:val="35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o regime de empreitada por preço unitário é compatível com a natureza dos serviços.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 xml:space="preserve">Dessa forma, conclui-se que a contratação é </w:t>
      </w:r>
      <w:r w:rsidRPr="00A839FD">
        <w:rPr>
          <w:rFonts w:ascii="Calibri" w:hAnsi="Calibri" w:cs="Calibri"/>
          <w:b/>
          <w:bCs/>
          <w:sz w:val="22"/>
          <w:szCs w:val="22"/>
        </w:rPr>
        <w:t>tecnicamente viável, economicamente vantajosa e juridicamente adequada</w:t>
      </w:r>
      <w:r w:rsidRPr="00A839FD">
        <w:rPr>
          <w:rFonts w:ascii="Calibri" w:hAnsi="Calibri" w:cs="Calibri"/>
          <w:sz w:val="22"/>
          <w:szCs w:val="22"/>
        </w:rPr>
        <w:t xml:space="preserve">, recomendando-se o prosseguimento da fase preparatória da licitação mediante </w:t>
      </w:r>
      <w:r w:rsidRPr="00A839FD">
        <w:rPr>
          <w:rFonts w:ascii="Calibri" w:hAnsi="Calibri" w:cs="Calibri"/>
          <w:b/>
          <w:bCs/>
          <w:sz w:val="22"/>
          <w:szCs w:val="22"/>
        </w:rPr>
        <w:t>Concorrência Eletrônica</w:t>
      </w:r>
      <w:r w:rsidRPr="00A839FD">
        <w:rPr>
          <w:rFonts w:ascii="Calibri" w:hAnsi="Calibri" w:cs="Calibri"/>
          <w:sz w:val="22"/>
          <w:szCs w:val="22"/>
        </w:rPr>
        <w:t xml:space="preserve">, com critério de julgamento pelo </w:t>
      </w:r>
      <w:r w:rsidRPr="00A839FD">
        <w:rPr>
          <w:rFonts w:ascii="Calibri" w:hAnsi="Calibri" w:cs="Calibri"/>
          <w:b/>
          <w:bCs/>
          <w:sz w:val="22"/>
          <w:szCs w:val="22"/>
        </w:rPr>
        <w:t>menor preço global</w:t>
      </w:r>
      <w:r w:rsidRPr="00A839FD">
        <w:rPr>
          <w:rFonts w:ascii="Calibri" w:hAnsi="Calibri" w:cs="Calibri"/>
          <w:sz w:val="22"/>
          <w:szCs w:val="22"/>
        </w:rPr>
        <w:t>, observadas as disposições da Lei Federal nº 14.133/2021.</w:t>
      </w:r>
    </w:p>
    <w:p w:rsidR="00A839FD" w:rsidRPr="00A839FD" w:rsidRDefault="00A839FD" w:rsidP="00A839FD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A839FD">
        <w:rPr>
          <w:rFonts w:ascii="Calibri" w:hAnsi="Calibri" w:cs="Calibri"/>
          <w:b/>
          <w:bCs/>
          <w:sz w:val="22"/>
          <w:szCs w:val="22"/>
        </w:rPr>
        <w:t>Análise técnica dos documentos apresentados</w:t>
      </w:r>
    </w:p>
    <w:p w:rsidR="00A839FD" w:rsidRP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 xml:space="preserve">Os documentos de </w:t>
      </w:r>
      <w:r w:rsidRPr="00A839FD">
        <w:rPr>
          <w:rFonts w:ascii="Calibri" w:hAnsi="Calibri" w:cs="Calibri"/>
          <w:b/>
          <w:bCs/>
          <w:sz w:val="22"/>
          <w:szCs w:val="22"/>
        </w:rPr>
        <w:t>Formalização da Demanda (DFD)</w:t>
      </w:r>
      <w:r w:rsidRPr="00A839FD">
        <w:rPr>
          <w:rFonts w:ascii="Calibri" w:hAnsi="Calibri" w:cs="Calibri"/>
          <w:sz w:val="22"/>
          <w:szCs w:val="22"/>
        </w:rPr>
        <w:t xml:space="preserve"> e </w:t>
      </w:r>
      <w:r w:rsidRPr="00A839FD">
        <w:rPr>
          <w:rFonts w:ascii="Calibri" w:hAnsi="Calibri" w:cs="Calibri"/>
          <w:b/>
          <w:bCs/>
          <w:sz w:val="22"/>
          <w:szCs w:val="22"/>
        </w:rPr>
        <w:t>Termo de Referência (TR)</w:t>
      </w:r>
      <w:r w:rsidRPr="00A839FD">
        <w:rPr>
          <w:rFonts w:ascii="Calibri" w:hAnsi="Calibri" w:cs="Calibri"/>
          <w:sz w:val="22"/>
          <w:szCs w:val="22"/>
        </w:rPr>
        <w:t xml:space="preserve"> estão bem estruturados e coerentes entre si, mas há alguns pontos que podem ser aperfeiçoados para maior aderência à Lei nº 14.133/2021 e às orientações dos Tribunais de Contas:</w:t>
      </w:r>
    </w:p>
    <w:p w:rsidR="00A839FD" w:rsidRPr="00A839FD" w:rsidRDefault="00A839FD" w:rsidP="00A839FD">
      <w:pPr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O TR descreve apenas parte dos serviços da obra (até o contrapiso e limpeza final). É recomendável que a descrição da solução remeta expressamente ao memorial descritivo e aos projetos executivos para abranger todos os serviços previstos (instalações elétricas, hidrossanitárias, cobertura, revestimentos, esquadrias, pintura etc.), evitando interpretação restritiva.</w:t>
      </w:r>
    </w:p>
    <w:p w:rsidR="00A839FD" w:rsidRPr="00A839FD" w:rsidRDefault="00A839FD" w:rsidP="00A839FD">
      <w:pPr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lastRenderedPageBreak/>
        <w:t>O prazo de execução de 60 dias é compatível com uma obra de pequeno porte, mas deve estar tecnicamente justificado no cronograma físico-financeiro.</w:t>
      </w:r>
    </w:p>
    <w:p w:rsidR="00A839FD" w:rsidRPr="00A839FD" w:rsidRDefault="00A839FD" w:rsidP="00A839FD">
      <w:pPr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Como haverá futura instalação de equipamentos de Raio-X, convém mencionar no ETP e no TR que os projetos contemplam (ou contemplarão, se for o caso) os requisitos específicos de blindagem radiológica, instalações elétricas dedicadas e demais exigências aplicáveis às salas de diagnóstico por imagem.</w:t>
      </w:r>
    </w:p>
    <w:p w:rsidR="00A839FD" w:rsidRPr="00A839FD" w:rsidRDefault="00A839FD" w:rsidP="00A839FD">
      <w:pPr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Na habilitação técnica, é recomendável especificar que os atestados deverão ser compatíveis com parcelas de maior relevância técnica e valor significativo, em conformidade com o art. 67 da Lei nº 14.133/2021, evitando exigências genéricas.</w:t>
      </w:r>
    </w:p>
    <w:p w:rsidR="00A839FD" w:rsidRPr="00A839FD" w:rsidRDefault="00A839FD" w:rsidP="00A839FD">
      <w:pPr>
        <w:numPr>
          <w:ilvl w:val="0"/>
          <w:numId w:val="36"/>
        </w:num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A matriz de riscos está adequada para uma obra desse porte, mas pode ser complementada com riscos relacionados à interferência no funcionamento do Pronto Atendimento durante a execução, já que se trata de uma ampliação em unidade de saúde em operação.</w:t>
      </w:r>
    </w:p>
    <w:p w:rsidR="00A839FD" w:rsidRDefault="00A839FD" w:rsidP="00A839FD">
      <w:pPr>
        <w:jc w:val="both"/>
        <w:rPr>
          <w:rFonts w:ascii="Calibri" w:hAnsi="Calibri" w:cs="Calibri"/>
          <w:sz w:val="22"/>
          <w:szCs w:val="22"/>
        </w:rPr>
      </w:pPr>
      <w:r w:rsidRPr="00A839FD">
        <w:rPr>
          <w:rFonts w:ascii="Calibri" w:hAnsi="Calibri" w:cs="Calibri"/>
          <w:sz w:val="22"/>
          <w:szCs w:val="22"/>
        </w:rPr>
        <w:t>No conjunto, a documentação demonstra consistência e fornece base suficiente para a instauração da licitação, desde que esses ajustes sejam avaliados na fase preparatória.</w:t>
      </w:r>
    </w:p>
    <w:p w:rsidR="00C93A65" w:rsidRDefault="00C93A65" w:rsidP="00A839FD">
      <w:pPr>
        <w:jc w:val="both"/>
        <w:rPr>
          <w:rFonts w:ascii="Calibri" w:hAnsi="Calibri" w:cs="Calibri"/>
          <w:sz w:val="22"/>
          <w:szCs w:val="22"/>
        </w:rPr>
      </w:pPr>
    </w:p>
    <w:p w:rsidR="00C93A65" w:rsidRDefault="00C93A65" w:rsidP="00C93A65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Santo Antônio das Missões, 14 de julho de 2026.</w:t>
      </w:r>
    </w:p>
    <w:p w:rsidR="00A52DE7" w:rsidRDefault="00A52DE7" w:rsidP="00C93A65">
      <w:pPr>
        <w:jc w:val="right"/>
        <w:rPr>
          <w:rFonts w:ascii="Calibri" w:hAnsi="Calibri" w:cs="Calibri"/>
          <w:sz w:val="22"/>
          <w:szCs w:val="22"/>
        </w:rPr>
      </w:pPr>
    </w:p>
    <w:p w:rsidR="00A52DE7" w:rsidRDefault="00A52DE7" w:rsidP="00A52DE7">
      <w:pPr>
        <w:spacing w:after="0"/>
        <w:jc w:val="center"/>
        <w:rPr>
          <w:rFonts w:ascii="Calibri" w:hAnsi="Calibri" w:cs="Calibri"/>
          <w:sz w:val="22"/>
          <w:szCs w:val="22"/>
        </w:rPr>
      </w:pPr>
      <w:bookmarkStart w:id="1" w:name="_Hlk236386074"/>
      <w:r>
        <w:rPr>
          <w:rFonts w:ascii="Calibri" w:hAnsi="Calibri" w:cs="Calibri"/>
          <w:sz w:val="22"/>
          <w:szCs w:val="22"/>
        </w:rPr>
        <w:t>Lauro Barros Boccacio</w:t>
      </w:r>
    </w:p>
    <w:p w:rsidR="00A52DE7" w:rsidRPr="00A839FD" w:rsidRDefault="00A52DE7" w:rsidP="00A52DE7">
      <w:pPr>
        <w:spacing w:after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Secretário de Saúde</w:t>
      </w:r>
    </w:p>
    <w:bookmarkEnd w:id="1"/>
    <w:p w:rsidR="008562B1" w:rsidRPr="00A839FD" w:rsidRDefault="008562B1" w:rsidP="00A839FD">
      <w:pPr>
        <w:jc w:val="both"/>
        <w:rPr>
          <w:rFonts w:ascii="Calibri" w:hAnsi="Calibri" w:cs="Calibri"/>
          <w:sz w:val="22"/>
          <w:szCs w:val="22"/>
        </w:rPr>
      </w:pPr>
    </w:p>
    <w:sectPr w:rsidR="008562B1" w:rsidRPr="00A839FD" w:rsidSect="00A839FD">
      <w:headerReference w:type="default" r:id="rId7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4B0" w:rsidRDefault="00DF74B0" w:rsidP="004639F6">
      <w:pPr>
        <w:spacing w:after="0" w:line="240" w:lineRule="auto"/>
      </w:pPr>
      <w:r>
        <w:separator/>
      </w:r>
    </w:p>
  </w:endnote>
  <w:endnote w:type="continuationSeparator" w:id="0">
    <w:p w:rsidR="00DF74B0" w:rsidRDefault="00DF74B0" w:rsidP="00463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4B0" w:rsidRDefault="00DF74B0" w:rsidP="004639F6">
      <w:pPr>
        <w:spacing w:after="0" w:line="240" w:lineRule="auto"/>
      </w:pPr>
      <w:r>
        <w:separator/>
      </w:r>
    </w:p>
  </w:footnote>
  <w:footnote w:type="continuationSeparator" w:id="0">
    <w:p w:rsidR="00DF74B0" w:rsidRDefault="00DF74B0" w:rsidP="00463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9F6" w:rsidRDefault="004639F6" w:rsidP="004639F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882870" wp14:editId="3F8433AB">
              <wp:simplePos x="0" y="0"/>
              <wp:positionH relativeFrom="column">
                <wp:posOffset>912495</wp:posOffset>
              </wp:positionH>
              <wp:positionV relativeFrom="paragraph">
                <wp:posOffset>7620</wp:posOffset>
              </wp:positionV>
              <wp:extent cx="5158740" cy="131000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740" cy="1310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9F6" w:rsidRDefault="004639F6" w:rsidP="004639F6">
                          <w:pPr>
                            <w:jc w:val="center"/>
                          </w:pPr>
                        </w:p>
                        <w:p w:rsidR="004639F6" w:rsidRDefault="004639F6" w:rsidP="004639F6">
                          <w:pPr>
                            <w:jc w:val="center"/>
                          </w:pPr>
                        </w:p>
                        <w:p w:rsidR="004639F6" w:rsidRDefault="004639F6" w:rsidP="004639F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4639F6" w:rsidRDefault="004639F6" w:rsidP="004639F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4639F6" w:rsidRDefault="004639F6" w:rsidP="004639F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4639F6" w:rsidRDefault="004639F6" w:rsidP="004639F6">
                          <w:pPr>
                            <w:jc w:val="center"/>
                          </w:pPr>
                        </w:p>
                        <w:p w:rsidR="004639F6" w:rsidRDefault="004639F6" w:rsidP="004639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88287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" stroked="f">
              <v:textbox>
                <w:txbxContent>
                  <w:p w:rsidR="004639F6" w:rsidRDefault="004639F6" w:rsidP="004639F6">
                    <w:pPr>
                      <w:jc w:val="center"/>
                    </w:pPr>
                  </w:p>
                  <w:p w:rsidR="004639F6" w:rsidRDefault="004639F6" w:rsidP="004639F6">
                    <w:pPr>
                      <w:jc w:val="center"/>
                    </w:pPr>
                  </w:p>
                  <w:p w:rsidR="004639F6" w:rsidRDefault="004639F6" w:rsidP="004639F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4639F6" w:rsidRDefault="004639F6" w:rsidP="004639F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4639F6" w:rsidRDefault="004639F6" w:rsidP="004639F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4639F6" w:rsidRDefault="004639F6" w:rsidP="004639F6">
                    <w:pPr>
                      <w:jc w:val="center"/>
                    </w:pPr>
                  </w:p>
                  <w:p w:rsidR="004639F6" w:rsidRDefault="004639F6" w:rsidP="004639F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1620" w:dyaOrig="19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7253816" r:id="rId2"/>
      </w:object>
    </w:r>
  </w:p>
  <w:p w:rsidR="004639F6" w:rsidRDefault="004639F6">
    <w:pPr>
      <w:pStyle w:val="Cabealho"/>
    </w:pPr>
  </w:p>
  <w:p w:rsidR="004639F6" w:rsidRDefault="004639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62378"/>
    <w:multiLevelType w:val="multilevel"/>
    <w:tmpl w:val="F7F65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F7B04"/>
    <w:multiLevelType w:val="multilevel"/>
    <w:tmpl w:val="5B66DE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C230D"/>
    <w:multiLevelType w:val="multilevel"/>
    <w:tmpl w:val="D794FC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82407"/>
    <w:multiLevelType w:val="multilevel"/>
    <w:tmpl w:val="CAB40F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26504D"/>
    <w:multiLevelType w:val="multilevel"/>
    <w:tmpl w:val="A566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35174"/>
    <w:multiLevelType w:val="multilevel"/>
    <w:tmpl w:val="10EA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CC04E7"/>
    <w:multiLevelType w:val="multilevel"/>
    <w:tmpl w:val="6424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C811F1"/>
    <w:multiLevelType w:val="multilevel"/>
    <w:tmpl w:val="C81691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D0227D"/>
    <w:multiLevelType w:val="multilevel"/>
    <w:tmpl w:val="8E88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BB24BA"/>
    <w:multiLevelType w:val="multilevel"/>
    <w:tmpl w:val="D28CC9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AE76FE"/>
    <w:multiLevelType w:val="multilevel"/>
    <w:tmpl w:val="7CF09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FA69FE"/>
    <w:multiLevelType w:val="multilevel"/>
    <w:tmpl w:val="F8A4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591E6A"/>
    <w:multiLevelType w:val="multilevel"/>
    <w:tmpl w:val="646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893F1F"/>
    <w:multiLevelType w:val="multilevel"/>
    <w:tmpl w:val="AB3E1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D519D0"/>
    <w:multiLevelType w:val="multilevel"/>
    <w:tmpl w:val="BAE21B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A61EBE"/>
    <w:multiLevelType w:val="multilevel"/>
    <w:tmpl w:val="3286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766806"/>
    <w:multiLevelType w:val="multilevel"/>
    <w:tmpl w:val="683098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490017"/>
    <w:multiLevelType w:val="hybridMultilevel"/>
    <w:tmpl w:val="5C30F1A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552792"/>
    <w:multiLevelType w:val="multilevel"/>
    <w:tmpl w:val="47FCE9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A35EC9"/>
    <w:multiLevelType w:val="multilevel"/>
    <w:tmpl w:val="6FCC79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C92E94"/>
    <w:multiLevelType w:val="multilevel"/>
    <w:tmpl w:val="5FEA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4E06C5"/>
    <w:multiLevelType w:val="multilevel"/>
    <w:tmpl w:val="A8F4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92266B"/>
    <w:multiLevelType w:val="multilevel"/>
    <w:tmpl w:val="451A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F249EA"/>
    <w:multiLevelType w:val="multilevel"/>
    <w:tmpl w:val="D882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B136B4"/>
    <w:multiLevelType w:val="multilevel"/>
    <w:tmpl w:val="B2A0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DF16B4"/>
    <w:multiLevelType w:val="multilevel"/>
    <w:tmpl w:val="4CC4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EB75B6"/>
    <w:multiLevelType w:val="multilevel"/>
    <w:tmpl w:val="AB2E8D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F27A9D"/>
    <w:multiLevelType w:val="multilevel"/>
    <w:tmpl w:val="33DA81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D8098C"/>
    <w:multiLevelType w:val="multilevel"/>
    <w:tmpl w:val="9D6005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A36C45"/>
    <w:multiLevelType w:val="multilevel"/>
    <w:tmpl w:val="4DA8A3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2805F4"/>
    <w:multiLevelType w:val="multilevel"/>
    <w:tmpl w:val="C316B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AB6D69"/>
    <w:multiLevelType w:val="multilevel"/>
    <w:tmpl w:val="2788D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2E32F4"/>
    <w:multiLevelType w:val="multilevel"/>
    <w:tmpl w:val="F662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1D4A41"/>
    <w:multiLevelType w:val="multilevel"/>
    <w:tmpl w:val="B1AA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556B2A"/>
    <w:multiLevelType w:val="multilevel"/>
    <w:tmpl w:val="B60C92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B53B45"/>
    <w:multiLevelType w:val="multilevel"/>
    <w:tmpl w:val="17406C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20"/>
  </w:num>
  <w:num w:numId="5">
    <w:abstractNumId w:val="22"/>
  </w:num>
  <w:num w:numId="6">
    <w:abstractNumId w:val="23"/>
  </w:num>
  <w:num w:numId="7">
    <w:abstractNumId w:val="32"/>
  </w:num>
  <w:num w:numId="8">
    <w:abstractNumId w:val="24"/>
  </w:num>
  <w:num w:numId="9">
    <w:abstractNumId w:val="4"/>
  </w:num>
  <w:num w:numId="10">
    <w:abstractNumId w:val="21"/>
  </w:num>
  <w:num w:numId="11">
    <w:abstractNumId w:val="31"/>
  </w:num>
  <w:num w:numId="12">
    <w:abstractNumId w:val="25"/>
  </w:num>
  <w:num w:numId="13">
    <w:abstractNumId w:val="8"/>
  </w:num>
  <w:num w:numId="14">
    <w:abstractNumId w:val="6"/>
  </w:num>
  <w:num w:numId="15">
    <w:abstractNumId w:val="10"/>
  </w:num>
  <w:num w:numId="16">
    <w:abstractNumId w:val="11"/>
  </w:num>
  <w:num w:numId="17">
    <w:abstractNumId w:val="33"/>
  </w:num>
  <w:num w:numId="18">
    <w:abstractNumId w:val="0"/>
  </w:num>
  <w:num w:numId="19">
    <w:abstractNumId w:val="9"/>
  </w:num>
  <w:num w:numId="20">
    <w:abstractNumId w:val="19"/>
  </w:num>
  <w:num w:numId="21">
    <w:abstractNumId w:val="26"/>
  </w:num>
  <w:num w:numId="22">
    <w:abstractNumId w:val="34"/>
  </w:num>
  <w:num w:numId="23">
    <w:abstractNumId w:val="1"/>
  </w:num>
  <w:num w:numId="24">
    <w:abstractNumId w:val="2"/>
  </w:num>
  <w:num w:numId="25">
    <w:abstractNumId w:val="16"/>
  </w:num>
  <w:num w:numId="26">
    <w:abstractNumId w:val="14"/>
  </w:num>
  <w:num w:numId="27">
    <w:abstractNumId w:val="27"/>
  </w:num>
  <w:num w:numId="28">
    <w:abstractNumId w:val="29"/>
  </w:num>
  <w:num w:numId="29">
    <w:abstractNumId w:val="30"/>
  </w:num>
  <w:num w:numId="30">
    <w:abstractNumId w:val="12"/>
  </w:num>
  <w:num w:numId="31">
    <w:abstractNumId w:val="3"/>
  </w:num>
  <w:num w:numId="32">
    <w:abstractNumId w:val="18"/>
  </w:num>
  <w:num w:numId="33">
    <w:abstractNumId w:val="17"/>
  </w:num>
  <w:num w:numId="34">
    <w:abstractNumId w:val="35"/>
  </w:num>
  <w:num w:numId="35">
    <w:abstractNumId w:val="28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9FD"/>
    <w:rsid w:val="004639F6"/>
    <w:rsid w:val="00590657"/>
    <w:rsid w:val="008562B1"/>
    <w:rsid w:val="00872DED"/>
    <w:rsid w:val="00A138C3"/>
    <w:rsid w:val="00A52DE7"/>
    <w:rsid w:val="00A839FD"/>
    <w:rsid w:val="00C93A65"/>
    <w:rsid w:val="00DF74B0"/>
    <w:rsid w:val="00E34B77"/>
    <w:rsid w:val="00FB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D03DCE"/>
  <w15:chartTrackingRefBased/>
  <w15:docId w15:val="{B23A9069-60A6-4953-8AD2-FDF1DA8FE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839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39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839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839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39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839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839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839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839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39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39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839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839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39F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839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839F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839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839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839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83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39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839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839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839F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839F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839F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839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839F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839F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639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39F6"/>
  </w:style>
  <w:style w:type="paragraph" w:styleId="Rodap">
    <w:name w:val="footer"/>
    <w:basedOn w:val="Normal"/>
    <w:link w:val="RodapChar"/>
    <w:uiPriority w:val="99"/>
    <w:unhideWhenUsed/>
    <w:rsid w:val="004639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3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1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1524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user134</cp:lastModifiedBy>
  <cp:revision>2</cp:revision>
  <cp:lastPrinted>2026-07-31T13:26:00Z</cp:lastPrinted>
  <dcterms:created xsi:type="dcterms:W3CDTF">2026-08-03T12:17:00Z</dcterms:created>
  <dcterms:modified xsi:type="dcterms:W3CDTF">2026-08-03T12:17:00Z</dcterms:modified>
</cp:coreProperties>
</file>